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836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160"/>
        <w:gridCol w:w="2700"/>
        <w:gridCol w:w="2790"/>
        <w:gridCol w:w="2610"/>
        <w:gridCol w:w="2610"/>
        <w:gridCol w:w="2880"/>
        <w:gridCol w:w="2610"/>
      </w:tblGrid>
      <w:tr w:rsidR="00DB7BEE" w:rsidRPr="005452DC" w:rsidTr="00D46340">
        <w:trPr>
          <w:trHeight w:val="2060"/>
        </w:trPr>
        <w:tc>
          <w:tcPr>
            <w:tcW w:w="2160" w:type="dxa"/>
          </w:tcPr>
          <w:p w:rsidR="00DB7BEE" w:rsidRPr="005D0D97" w:rsidRDefault="00DB7BEE" w:rsidP="00D66AF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bookmarkStart w:id="0" w:name="_Hlk488597623"/>
          </w:p>
          <w:p w:rsidR="00DB7BEE" w:rsidRPr="005452DC" w:rsidRDefault="00DB7BEE" w:rsidP="00D66AF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1241829" cy="990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rogramtype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644" cy="994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7BEE" w:rsidRPr="005452DC" w:rsidRDefault="00DB7BEE" w:rsidP="00D66AF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DB7BEE" w:rsidRPr="005452DC" w:rsidRDefault="00DB7BEE" w:rsidP="00D66AF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DB7BEE" w:rsidRPr="005452DC" w:rsidRDefault="00DB7BEE" w:rsidP="00D66AF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DB7BEE" w:rsidRPr="005452DC" w:rsidRDefault="00DB7BEE" w:rsidP="00D66AF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DB7BEE" w:rsidRPr="00761D87" w:rsidRDefault="00DB7BEE" w:rsidP="00D66AF0">
            <w:pPr>
              <w:pStyle w:val="NoSpacing"/>
              <w:jc w:val="center"/>
              <w:rPr>
                <w:b/>
                <w:color w:val="660000"/>
                <w:sz w:val="24"/>
                <w:szCs w:val="24"/>
              </w:rPr>
            </w:pPr>
            <w:r w:rsidRPr="00761D87">
              <w:rPr>
                <w:b/>
                <w:color w:val="660000"/>
                <w:sz w:val="24"/>
                <w:szCs w:val="24"/>
              </w:rPr>
              <w:t>VT FACULTY LED</w:t>
            </w:r>
          </w:p>
          <w:p w:rsidR="00DB7BEE" w:rsidRDefault="00DB7BEE" w:rsidP="00D66AF0">
            <w:pPr>
              <w:pStyle w:val="NoSpacing"/>
              <w:rPr>
                <w:sz w:val="20"/>
                <w:szCs w:val="20"/>
              </w:rPr>
            </w:pPr>
          </w:p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21276D">
              <w:rPr>
                <w:sz w:val="18"/>
                <w:szCs w:val="18"/>
              </w:rPr>
              <w:t>The programs are usually designed by VT faculty and sponsored by a specific VT department</w:t>
            </w:r>
          </w:p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Default="00DB7BEE" w:rsidP="00D66AF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roughly offers:</w:t>
            </w:r>
          </w:p>
          <w:p w:rsidR="00DB7BEE" w:rsidRDefault="00DB7BEE" w:rsidP="00DB7BEE">
            <w:pPr>
              <w:pStyle w:val="NoSpacing"/>
              <w:numPr>
                <w:ilvl w:val="0"/>
                <w:numId w:val="13"/>
              </w:numPr>
              <w:ind w:left="346" w:hanging="180"/>
              <w:rPr>
                <w:sz w:val="18"/>
                <w:szCs w:val="18"/>
              </w:rPr>
            </w:pPr>
            <w:r w:rsidRPr="00D46340">
              <w:rPr>
                <w:b/>
                <w:sz w:val="20"/>
                <w:szCs w:val="20"/>
              </w:rPr>
              <w:t>65</w:t>
            </w:r>
            <w:r>
              <w:rPr>
                <w:sz w:val="18"/>
                <w:szCs w:val="18"/>
              </w:rPr>
              <w:t xml:space="preserve"> short term programs </w:t>
            </w:r>
          </w:p>
          <w:p w:rsidR="00DB7BEE" w:rsidRPr="004476AB" w:rsidRDefault="00DB7BEE" w:rsidP="00DB7BEE">
            <w:pPr>
              <w:pStyle w:val="NoSpacing"/>
              <w:numPr>
                <w:ilvl w:val="0"/>
                <w:numId w:val="13"/>
              </w:numPr>
              <w:ind w:left="346" w:hanging="180"/>
              <w:rPr>
                <w:b/>
                <w:sz w:val="20"/>
                <w:szCs w:val="20"/>
              </w:rPr>
            </w:pPr>
            <w:r w:rsidRPr="00D46340">
              <w:rPr>
                <w:b/>
                <w:sz w:val="20"/>
                <w:szCs w:val="20"/>
              </w:rPr>
              <w:t>5</w:t>
            </w:r>
            <w:r w:rsidRPr="00D46340">
              <w:t xml:space="preserve"> </w:t>
            </w:r>
            <w:r w:rsidRPr="004476AB">
              <w:rPr>
                <w:sz w:val="18"/>
                <w:szCs w:val="18"/>
              </w:rPr>
              <w:t>semester programs</w:t>
            </w:r>
          </w:p>
          <w:p w:rsidR="00DB7BEE" w:rsidRPr="00D46340" w:rsidRDefault="00DB7BEE" w:rsidP="00D66AF0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B7BEE" w:rsidRPr="00761D87" w:rsidRDefault="005C6113" w:rsidP="00D66AF0">
            <w:pPr>
              <w:pStyle w:val="NoSpacing"/>
              <w:jc w:val="center"/>
              <w:rPr>
                <w:b/>
                <w:color w:val="660000"/>
                <w:sz w:val="24"/>
                <w:szCs w:val="24"/>
              </w:rPr>
            </w:pPr>
            <w:r>
              <w:rPr>
                <w:b/>
                <w:color w:val="660000"/>
                <w:sz w:val="24"/>
                <w:szCs w:val="24"/>
              </w:rPr>
              <w:t>VT E</w:t>
            </w:r>
            <w:r w:rsidR="00DB7BEE" w:rsidRPr="00761D87">
              <w:rPr>
                <w:b/>
                <w:color w:val="660000"/>
                <w:sz w:val="24"/>
                <w:szCs w:val="24"/>
              </w:rPr>
              <w:t>XCHANGE</w:t>
            </w:r>
          </w:p>
          <w:p w:rsidR="00D46340" w:rsidRPr="00D46340" w:rsidRDefault="00D46340" w:rsidP="00D66AF0">
            <w:pPr>
              <w:pStyle w:val="NoSpacing"/>
              <w:rPr>
                <w:sz w:val="20"/>
                <w:szCs w:val="20"/>
              </w:rPr>
            </w:pPr>
          </w:p>
          <w:p w:rsidR="00D46340" w:rsidRDefault="00D46340" w:rsidP="00D66AF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DB7BEE" w:rsidRPr="005452DC">
              <w:rPr>
                <w:sz w:val="18"/>
                <w:szCs w:val="18"/>
              </w:rPr>
              <w:t xml:space="preserve">T has forged </w:t>
            </w:r>
            <w:r w:rsidR="00DB7BEE">
              <w:rPr>
                <w:sz w:val="18"/>
                <w:szCs w:val="18"/>
              </w:rPr>
              <w:t>partner</w:t>
            </w:r>
            <w:r w:rsidR="00DB7BEE" w:rsidRPr="005452DC">
              <w:rPr>
                <w:sz w:val="18"/>
                <w:szCs w:val="18"/>
              </w:rPr>
              <w:t xml:space="preserve">ships with </w:t>
            </w:r>
          </w:p>
          <w:p w:rsidR="00DB7BEE" w:rsidRPr="005452DC" w:rsidRDefault="00F13B57" w:rsidP="00D66AF0">
            <w:pPr>
              <w:pStyle w:val="NoSpacing"/>
              <w:rPr>
                <w:sz w:val="18"/>
                <w:szCs w:val="18"/>
              </w:rPr>
            </w:pPr>
            <w:r w:rsidRPr="007E60D4">
              <w:rPr>
                <w:b/>
                <w:sz w:val="18"/>
                <w:szCs w:val="18"/>
              </w:rPr>
              <w:t>6</w:t>
            </w:r>
            <w:r w:rsidR="00DB7BEE" w:rsidRPr="007E60D4">
              <w:rPr>
                <w:b/>
                <w:sz w:val="18"/>
                <w:szCs w:val="18"/>
              </w:rPr>
              <w:t>0</w:t>
            </w:r>
            <w:r w:rsidR="00DB7BEE">
              <w:rPr>
                <w:sz w:val="18"/>
                <w:szCs w:val="18"/>
              </w:rPr>
              <w:t xml:space="preserve"> </w:t>
            </w:r>
            <w:r w:rsidR="00DB7BEE" w:rsidRPr="005452DC">
              <w:rPr>
                <w:sz w:val="18"/>
                <w:szCs w:val="18"/>
              </w:rPr>
              <w:t xml:space="preserve">prestigious universities across the world that engage in reciprocal student exchange </w:t>
            </w: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DB7BEE" w:rsidRPr="00761D87" w:rsidRDefault="00DB7BEE" w:rsidP="00D66AF0">
            <w:pPr>
              <w:pStyle w:val="NoSpacing"/>
              <w:jc w:val="center"/>
              <w:rPr>
                <w:b/>
                <w:color w:val="660000"/>
                <w:sz w:val="24"/>
                <w:szCs w:val="24"/>
              </w:rPr>
            </w:pPr>
            <w:r w:rsidRPr="00761D87">
              <w:rPr>
                <w:b/>
                <w:color w:val="660000"/>
                <w:sz w:val="24"/>
                <w:szCs w:val="24"/>
              </w:rPr>
              <w:t>ISEP EXCHANGE</w:t>
            </w:r>
          </w:p>
          <w:p w:rsidR="00DB7BEE" w:rsidRPr="005452DC" w:rsidRDefault="00DB7BEE" w:rsidP="00D66AF0">
            <w:pPr>
              <w:pStyle w:val="NoSpacing"/>
              <w:rPr>
                <w:sz w:val="20"/>
                <w:szCs w:val="20"/>
              </w:rPr>
            </w:pP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partners with ISEP, a non-profit educational organization, to expand your study abroad options as ISEP has</w:t>
            </w:r>
            <w:r w:rsidRPr="00355787">
              <w:rPr>
                <w:sz w:val="18"/>
                <w:szCs w:val="18"/>
              </w:rPr>
              <w:t xml:space="preserve"> </w:t>
            </w:r>
            <w:r w:rsidRPr="005452DC">
              <w:rPr>
                <w:sz w:val="18"/>
                <w:szCs w:val="18"/>
              </w:rPr>
              <w:t xml:space="preserve">a network of </w:t>
            </w:r>
            <w:r w:rsidR="00B03EA0">
              <w:rPr>
                <w:sz w:val="18"/>
                <w:szCs w:val="18"/>
              </w:rPr>
              <w:t xml:space="preserve">about </w:t>
            </w:r>
            <w:r w:rsidRPr="00D46340">
              <w:rPr>
                <w:b/>
                <w:sz w:val="20"/>
                <w:szCs w:val="20"/>
              </w:rPr>
              <w:t>17</w:t>
            </w:r>
            <w:r w:rsidR="00B03EA0">
              <w:rPr>
                <w:b/>
                <w:sz w:val="20"/>
                <w:szCs w:val="20"/>
              </w:rPr>
              <w:t>0</w:t>
            </w:r>
            <w:r w:rsidRPr="005452DC">
              <w:rPr>
                <w:sz w:val="18"/>
                <w:szCs w:val="18"/>
              </w:rPr>
              <w:t xml:space="preserve"> universities </w:t>
            </w:r>
            <w:r>
              <w:rPr>
                <w:sz w:val="18"/>
                <w:szCs w:val="18"/>
              </w:rPr>
              <w:t>for reciprocal student exchange</w:t>
            </w: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B7BEE" w:rsidRPr="005452DC" w:rsidRDefault="00DB7BEE" w:rsidP="00D66AF0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DB7BEE" w:rsidRPr="00761D87" w:rsidRDefault="00DB7BEE" w:rsidP="00D66AF0">
            <w:pPr>
              <w:pStyle w:val="NoSpacing"/>
              <w:jc w:val="center"/>
              <w:rPr>
                <w:b/>
                <w:color w:val="660000"/>
                <w:sz w:val="24"/>
                <w:szCs w:val="24"/>
              </w:rPr>
            </w:pPr>
            <w:r w:rsidRPr="00761D87">
              <w:rPr>
                <w:b/>
                <w:color w:val="660000"/>
                <w:sz w:val="24"/>
                <w:szCs w:val="24"/>
              </w:rPr>
              <w:t xml:space="preserve">ISEP DIRECT </w:t>
            </w:r>
          </w:p>
          <w:p w:rsidR="00DB7BEE" w:rsidRPr="0092514B" w:rsidRDefault="00DB7BEE" w:rsidP="00D66AF0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partners with ISEP, a non-profit educational organization, to expand your study abroad options as ISEP has</w:t>
            </w:r>
            <w:r w:rsidRPr="00355787">
              <w:rPr>
                <w:sz w:val="18"/>
                <w:szCs w:val="18"/>
              </w:rPr>
              <w:t xml:space="preserve"> </w:t>
            </w:r>
            <w:r w:rsidRPr="005452DC">
              <w:rPr>
                <w:sz w:val="18"/>
                <w:szCs w:val="18"/>
              </w:rPr>
              <w:t xml:space="preserve">a network of </w:t>
            </w:r>
            <w:r w:rsidR="00B03EA0">
              <w:rPr>
                <w:sz w:val="18"/>
                <w:szCs w:val="18"/>
              </w:rPr>
              <w:t xml:space="preserve">about </w:t>
            </w:r>
            <w:r w:rsidR="00B03EA0">
              <w:rPr>
                <w:b/>
                <w:sz w:val="20"/>
                <w:szCs w:val="20"/>
              </w:rPr>
              <w:t>10</w:t>
            </w:r>
            <w:r w:rsidRPr="00D46340">
              <w:rPr>
                <w:b/>
                <w:sz w:val="20"/>
                <w:szCs w:val="20"/>
              </w:rPr>
              <w:t>0</w:t>
            </w:r>
            <w:r w:rsidRPr="005452DC">
              <w:rPr>
                <w:sz w:val="18"/>
                <w:szCs w:val="18"/>
              </w:rPr>
              <w:t xml:space="preserve"> universities </w:t>
            </w:r>
            <w:r>
              <w:rPr>
                <w:sz w:val="18"/>
                <w:szCs w:val="18"/>
              </w:rPr>
              <w:t>for direct enroll</w:t>
            </w:r>
          </w:p>
          <w:p w:rsidR="00DB7BEE" w:rsidRPr="005452DC" w:rsidRDefault="00DB7BEE" w:rsidP="00D66AF0">
            <w:pPr>
              <w:pStyle w:val="NoSpacing"/>
              <w:rPr>
                <w:sz w:val="20"/>
                <w:szCs w:val="20"/>
              </w:rPr>
            </w:pPr>
          </w:p>
          <w:p w:rsidR="00DB7BEE" w:rsidRPr="005452DC" w:rsidRDefault="00DB7BEE" w:rsidP="00D66AF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DB7BEE" w:rsidRPr="00394AE0" w:rsidRDefault="00DB7BEE" w:rsidP="00D66AF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DB7BEE" w:rsidRPr="00761D87" w:rsidRDefault="00DB7BEE" w:rsidP="00D66AF0">
            <w:pPr>
              <w:pStyle w:val="NoSpacing"/>
              <w:jc w:val="center"/>
              <w:rPr>
                <w:b/>
                <w:color w:val="660000"/>
                <w:sz w:val="24"/>
                <w:szCs w:val="24"/>
              </w:rPr>
            </w:pPr>
            <w:r w:rsidRPr="00761D87">
              <w:rPr>
                <w:b/>
                <w:color w:val="660000"/>
                <w:sz w:val="24"/>
                <w:szCs w:val="24"/>
              </w:rPr>
              <w:t>THIRD PARTY</w:t>
            </w:r>
          </w:p>
          <w:p w:rsidR="00DB7BEE" w:rsidRPr="00394AE0" w:rsidRDefault="00DB7BEE" w:rsidP="00D66AF0">
            <w:pPr>
              <w:pStyle w:val="NoSpacing"/>
              <w:rPr>
                <w:sz w:val="20"/>
                <w:szCs w:val="20"/>
              </w:rPr>
            </w:pPr>
          </w:p>
          <w:p w:rsidR="00267219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394AE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hese </w:t>
            </w:r>
            <w:r w:rsidR="00D46340" w:rsidRPr="00394AE0">
              <w:rPr>
                <w:sz w:val="18"/>
                <w:szCs w:val="18"/>
              </w:rPr>
              <w:t>non-VT affiliated organizations</w:t>
            </w:r>
            <w:r w:rsidRPr="00394A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administer study </w:t>
            </w:r>
            <w:r w:rsidRPr="00394AE0">
              <w:rPr>
                <w:sz w:val="18"/>
                <w:szCs w:val="18"/>
              </w:rPr>
              <w:t>abroad programs</w:t>
            </w:r>
            <w:r>
              <w:rPr>
                <w:sz w:val="18"/>
                <w:szCs w:val="18"/>
              </w:rPr>
              <w:t xml:space="preserve"> and </w:t>
            </w:r>
            <w:r w:rsidRPr="00394AE0">
              <w:rPr>
                <w:sz w:val="18"/>
                <w:szCs w:val="18"/>
              </w:rPr>
              <w:t xml:space="preserve">act as intermediaries </w:t>
            </w:r>
            <w:r>
              <w:rPr>
                <w:sz w:val="18"/>
                <w:szCs w:val="18"/>
              </w:rPr>
              <w:t xml:space="preserve">for </w:t>
            </w:r>
            <w:r w:rsidRPr="00394AE0">
              <w:rPr>
                <w:sz w:val="18"/>
                <w:szCs w:val="18"/>
              </w:rPr>
              <w:t xml:space="preserve">logistics (i.e. </w:t>
            </w:r>
            <w:r>
              <w:rPr>
                <w:sz w:val="18"/>
                <w:szCs w:val="18"/>
              </w:rPr>
              <w:t>housing, transcript</w:t>
            </w:r>
            <w:r w:rsidRPr="00394AE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. </w:t>
            </w:r>
          </w:p>
          <w:p w:rsidR="00DB7BEE" w:rsidRPr="00F254B6" w:rsidRDefault="00DB7BEE" w:rsidP="00D66AF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Often onsite staff offers </w:t>
            </w:r>
            <w:r w:rsidRPr="00394AE0">
              <w:rPr>
                <w:sz w:val="18"/>
                <w:szCs w:val="18"/>
              </w:rPr>
              <w:t xml:space="preserve">orientation, support services, field trips, </w:t>
            </w:r>
            <w:r>
              <w:rPr>
                <w:sz w:val="18"/>
                <w:szCs w:val="18"/>
              </w:rPr>
              <w:t>and cultural activities.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DB7BEE" w:rsidRPr="00761D87" w:rsidRDefault="00F83EFA" w:rsidP="00D66AF0">
            <w:pPr>
              <w:pStyle w:val="NoSpacing"/>
              <w:jc w:val="center"/>
              <w:rPr>
                <w:b/>
                <w:color w:val="660000"/>
                <w:sz w:val="24"/>
                <w:szCs w:val="24"/>
              </w:rPr>
            </w:pPr>
            <w:r>
              <w:rPr>
                <w:b/>
                <w:color w:val="660000"/>
                <w:sz w:val="24"/>
                <w:szCs w:val="24"/>
              </w:rPr>
              <w:t>A</w:t>
            </w:r>
            <w:r w:rsidR="007B6217">
              <w:rPr>
                <w:b/>
                <w:color w:val="660000"/>
                <w:sz w:val="24"/>
                <w:szCs w:val="24"/>
              </w:rPr>
              <w:t>UTONOMOUS</w:t>
            </w:r>
            <w:r>
              <w:rPr>
                <w:b/>
                <w:color w:val="660000"/>
                <w:sz w:val="24"/>
                <w:szCs w:val="24"/>
              </w:rPr>
              <w:t xml:space="preserve"> S</w:t>
            </w:r>
            <w:r w:rsidR="007B6217">
              <w:rPr>
                <w:b/>
                <w:color w:val="660000"/>
                <w:sz w:val="24"/>
                <w:szCs w:val="24"/>
              </w:rPr>
              <w:t>TUDY</w:t>
            </w:r>
          </w:p>
          <w:p w:rsidR="00DB7BEE" w:rsidRPr="005452DC" w:rsidRDefault="00DB7BEE" w:rsidP="00D66AF0">
            <w:pPr>
              <w:pStyle w:val="NoSpacing"/>
              <w:rPr>
                <w:sz w:val="20"/>
                <w:szCs w:val="20"/>
              </w:rPr>
            </w:pPr>
          </w:p>
          <w:p w:rsidR="00DB7BEE" w:rsidRPr="00984550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984550">
              <w:rPr>
                <w:sz w:val="18"/>
                <w:szCs w:val="18"/>
              </w:rPr>
              <w:t xml:space="preserve">There are many countries where it is very cheap to directly enroll </w:t>
            </w:r>
            <w:r>
              <w:rPr>
                <w:sz w:val="18"/>
                <w:szCs w:val="18"/>
              </w:rPr>
              <w:t>in</w:t>
            </w:r>
            <w:r w:rsidRPr="00984550">
              <w:rPr>
                <w:sz w:val="18"/>
                <w:szCs w:val="18"/>
              </w:rPr>
              <w:t>to a university</w:t>
            </w:r>
            <w:r>
              <w:rPr>
                <w:sz w:val="18"/>
                <w:szCs w:val="18"/>
              </w:rPr>
              <w:t xml:space="preserve">, </w:t>
            </w:r>
            <w:r w:rsidRPr="007E2D3D">
              <w:rPr>
                <w:sz w:val="18"/>
                <w:szCs w:val="18"/>
                <w:u w:val="single"/>
              </w:rPr>
              <w:t>provided</w:t>
            </w:r>
            <w:r>
              <w:rPr>
                <w:sz w:val="18"/>
                <w:szCs w:val="18"/>
              </w:rPr>
              <w:t xml:space="preserve"> the university allows semester enrollment even if VT doesn’t have a partnership with them</w:t>
            </w:r>
          </w:p>
          <w:p w:rsidR="00DB7BEE" w:rsidRPr="00984550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9105A4" w:rsidRDefault="00DB7BEE" w:rsidP="00D66AF0">
            <w:pPr>
              <w:pStyle w:val="NoSpacing"/>
              <w:rPr>
                <w:sz w:val="18"/>
                <w:szCs w:val="18"/>
              </w:rPr>
            </w:pPr>
          </w:p>
        </w:tc>
      </w:tr>
      <w:tr w:rsidR="00DB7BEE" w:rsidRPr="005452DC" w:rsidTr="00D46340">
        <w:trPr>
          <w:trHeight w:val="1601"/>
        </w:trPr>
        <w:tc>
          <w:tcPr>
            <w:tcW w:w="2160" w:type="dxa"/>
          </w:tcPr>
          <w:p w:rsidR="00DB7BEE" w:rsidRPr="005D0D97" w:rsidRDefault="00DB7BEE" w:rsidP="00D66AF0">
            <w:pPr>
              <w:pStyle w:val="NoSpacing"/>
              <w:rPr>
                <w:sz w:val="16"/>
                <w:szCs w:val="16"/>
              </w:rPr>
            </w:pPr>
            <w:bookmarkStart w:id="1" w:name="_Hlk491618625"/>
          </w:p>
          <w:p w:rsidR="00DB7BEE" w:rsidRDefault="00DB7BEE" w:rsidP="00D66AF0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234440" cy="987425"/>
                  <wp:effectExtent l="0" t="0" r="381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ogramcosts.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7219" w:rsidRPr="00D46340" w:rsidRDefault="00267219" w:rsidP="00D66AF0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F8194F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21276D">
              <w:rPr>
                <w:sz w:val="18"/>
                <w:szCs w:val="18"/>
              </w:rPr>
              <w:t>Cost effective for</w:t>
            </w:r>
            <w:r>
              <w:rPr>
                <w:sz w:val="18"/>
                <w:szCs w:val="18"/>
              </w:rPr>
              <w:t xml:space="preserve"> both </w:t>
            </w:r>
          </w:p>
          <w:p w:rsidR="00F8194F" w:rsidRDefault="00DB7BEE" w:rsidP="00D66AF0">
            <w:pPr>
              <w:pStyle w:val="NoSpacing"/>
              <w:rPr>
                <w:b/>
                <w:sz w:val="18"/>
                <w:szCs w:val="18"/>
              </w:rPr>
            </w:pPr>
            <w:r w:rsidRPr="001A3F89">
              <w:rPr>
                <w:b/>
                <w:sz w:val="18"/>
                <w:szCs w:val="18"/>
              </w:rPr>
              <w:t xml:space="preserve">in-state </w:t>
            </w:r>
            <w:r w:rsidRPr="00554B10">
              <w:rPr>
                <w:sz w:val="18"/>
                <w:szCs w:val="18"/>
              </w:rPr>
              <w:t>and</w:t>
            </w:r>
            <w:r w:rsidRPr="001A3F89">
              <w:rPr>
                <w:b/>
                <w:sz w:val="18"/>
                <w:szCs w:val="18"/>
              </w:rPr>
              <w:t xml:space="preserve"> </w:t>
            </w:r>
          </w:p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1A3F89">
              <w:rPr>
                <w:b/>
                <w:sz w:val="18"/>
                <w:szCs w:val="18"/>
              </w:rPr>
              <w:t xml:space="preserve">out-of-state </w:t>
            </w:r>
            <w:r w:rsidRPr="001A3F89">
              <w:rPr>
                <w:sz w:val="18"/>
                <w:szCs w:val="18"/>
              </w:rPr>
              <w:t>students</w:t>
            </w:r>
          </w:p>
        </w:tc>
        <w:tc>
          <w:tcPr>
            <w:tcW w:w="279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Most cost effective for </w:t>
            </w:r>
            <w:r w:rsidRPr="001A3F89">
              <w:rPr>
                <w:b/>
                <w:sz w:val="18"/>
                <w:szCs w:val="18"/>
              </w:rPr>
              <w:t xml:space="preserve">in-state </w:t>
            </w:r>
            <w:r w:rsidRPr="005452DC">
              <w:rPr>
                <w:sz w:val="18"/>
                <w:szCs w:val="18"/>
              </w:rPr>
              <w:t xml:space="preserve">students </w:t>
            </w:r>
            <w:r>
              <w:rPr>
                <w:sz w:val="18"/>
                <w:szCs w:val="18"/>
              </w:rPr>
              <w:t>(as you can study abroad at the cost of your in-state tuition)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Most cost effective for </w:t>
            </w:r>
            <w:r w:rsidRPr="001A3F89">
              <w:rPr>
                <w:b/>
                <w:sz w:val="18"/>
                <w:szCs w:val="18"/>
              </w:rPr>
              <w:t>in-state</w:t>
            </w:r>
            <w:r w:rsidRPr="005452DC">
              <w:rPr>
                <w:sz w:val="18"/>
                <w:szCs w:val="18"/>
              </w:rPr>
              <w:t xml:space="preserve"> students</w:t>
            </w:r>
            <w:r>
              <w:rPr>
                <w:sz w:val="18"/>
                <w:szCs w:val="18"/>
              </w:rPr>
              <w:t xml:space="preserve"> (as you can study abroad at the cost of your in-state tuition)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F8194F" w:rsidRDefault="00DB7BEE" w:rsidP="00D66AF0">
            <w:pPr>
              <w:pStyle w:val="NoSpacing"/>
              <w:rPr>
                <w:b/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Can be </w:t>
            </w:r>
            <w:r>
              <w:rPr>
                <w:sz w:val="18"/>
                <w:szCs w:val="18"/>
              </w:rPr>
              <w:t xml:space="preserve">cost effective for both </w:t>
            </w:r>
            <w:r w:rsidRPr="001A3F89">
              <w:rPr>
                <w:b/>
                <w:sz w:val="18"/>
                <w:szCs w:val="18"/>
              </w:rPr>
              <w:t xml:space="preserve">in-state </w:t>
            </w:r>
            <w:r w:rsidRPr="00554B10">
              <w:rPr>
                <w:sz w:val="18"/>
                <w:szCs w:val="18"/>
              </w:rPr>
              <w:t>and</w:t>
            </w:r>
            <w:r w:rsidRPr="001A3F89">
              <w:rPr>
                <w:b/>
                <w:sz w:val="18"/>
                <w:szCs w:val="18"/>
              </w:rPr>
              <w:t xml:space="preserve"> </w:t>
            </w:r>
          </w:p>
          <w:p w:rsidR="00F8194F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1A3F89">
              <w:rPr>
                <w:b/>
                <w:sz w:val="18"/>
                <w:szCs w:val="18"/>
              </w:rPr>
              <w:t xml:space="preserve">out-of-state </w:t>
            </w:r>
            <w:r w:rsidRPr="001A3F89">
              <w:rPr>
                <w:sz w:val="18"/>
                <w:szCs w:val="18"/>
              </w:rPr>
              <w:t>students</w:t>
            </w:r>
          </w:p>
          <w:p w:rsidR="00DB7BEE" w:rsidRPr="005452DC" w:rsidRDefault="00F8194F" w:rsidP="00F8194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B7BEE">
              <w:rPr>
                <w:sz w:val="18"/>
                <w:szCs w:val="18"/>
              </w:rPr>
              <w:t xml:space="preserve">if applying to </w:t>
            </w:r>
            <w:r w:rsidR="00DB7BEE" w:rsidRPr="005452DC">
              <w:rPr>
                <w:sz w:val="18"/>
                <w:szCs w:val="18"/>
              </w:rPr>
              <w:t xml:space="preserve">low </w:t>
            </w:r>
            <w:r w:rsidR="00DB7BEE">
              <w:rPr>
                <w:sz w:val="18"/>
                <w:szCs w:val="18"/>
              </w:rPr>
              <w:t>cost</w:t>
            </w:r>
            <w:r w:rsidR="00DB7BEE" w:rsidRPr="005452DC">
              <w:rPr>
                <w:sz w:val="18"/>
                <w:szCs w:val="18"/>
              </w:rPr>
              <w:t xml:space="preserve"> </w:t>
            </w:r>
            <w:r w:rsidR="00DB7BEE">
              <w:rPr>
                <w:sz w:val="18"/>
                <w:szCs w:val="18"/>
              </w:rPr>
              <w:t>programs and i</w:t>
            </w:r>
            <w:r w:rsidR="00DB7BEE" w:rsidRPr="005452DC">
              <w:rPr>
                <w:sz w:val="18"/>
                <w:szCs w:val="18"/>
              </w:rPr>
              <w:t>n an area with low cost-of-living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rPr>
                <w:b/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Most cost effective for </w:t>
            </w:r>
            <w:r w:rsidRPr="001A3F89">
              <w:rPr>
                <w:b/>
                <w:sz w:val="18"/>
                <w:szCs w:val="18"/>
              </w:rPr>
              <w:t>out-of-state</w:t>
            </w:r>
            <w:r w:rsidRPr="005452DC">
              <w:rPr>
                <w:sz w:val="18"/>
                <w:szCs w:val="18"/>
              </w:rPr>
              <w:t xml:space="preserve"> students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F8194F" w:rsidRDefault="00DB7BEE" w:rsidP="00D66AF0">
            <w:pPr>
              <w:pStyle w:val="NoSpacing"/>
              <w:rPr>
                <w:b/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Can be </w:t>
            </w:r>
            <w:r>
              <w:rPr>
                <w:sz w:val="18"/>
                <w:szCs w:val="18"/>
              </w:rPr>
              <w:t xml:space="preserve">cost effective for both </w:t>
            </w:r>
            <w:r w:rsidRPr="001A3F89">
              <w:rPr>
                <w:b/>
                <w:sz w:val="18"/>
                <w:szCs w:val="18"/>
              </w:rPr>
              <w:t xml:space="preserve">in-state </w:t>
            </w:r>
            <w:r w:rsidRPr="00CD76C8">
              <w:rPr>
                <w:sz w:val="18"/>
                <w:szCs w:val="18"/>
              </w:rPr>
              <w:t>and</w:t>
            </w:r>
            <w:r w:rsidRPr="001A3F89">
              <w:rPr>
                <w:b/>
                <w:sz w:val="18"/>
                <w:szCs w:val="18"/>
              </w:rPr>
              <w:t xml:space="preserve"> </w:t>
            </w:r>
          </w:p>
          <w:p w:rsidR="00F8194F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1A3F89">
              <w:rPr>
                <w:b/>
                <w:sz w:val="18"/>
                <w:szCs w:val="18"/>
              </w:rPr>
              <w:t xml:space="preserve">out-of-state </w:t>
            </w:r>
            <w:r w:rsidRPr="001A3F89">
              <w:rPr>
                <w:sz w:val="18"/>
                <w:szCs w:val="18"/>
              </w:rPr>
              <w:t xml:space="preserve">students </w:t>
            </w:r>
          </w:p>
          <w:p w:rsidR="00DB7BEE" w:rsidRDefault="00F8194F" w:rsidP="00D66AF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B7BEE" w:rsidRPr="001A3F89">
              <w:rPr>
                <w:sz w:val="18"/>
                <w:szCs w:val="18"/>
              </w:rPr>
              <w:t>if</w:t>
            </w:r>
            <w:r w:rsidR="00DB7BEE">
              <w:rPr>
                <w:sz w:val="18"/>
                <w:szCs w:val="18"/>
              </w:rPr>
              <w:t xml:space="preserve"> applying to host universities</w:t>
            </w:r>
            <w:r w:rsidR="00DB7BEE" w:rsidRPr="005452DC">
              <w:rPr>
                <w:sz w:val="18"/>
                <w:szCs w:val="18"/>
              </w:rPr>
              <w:t xml:space="preserve"> with low/no tuition </w:t>
            </w:r>
            <w:r w:rsidR="00DB7BEE">
              <w:rPr>
                <w:sz w:val="18"/>
                <w:szCs w:val="18"/>
              </w:rPr>
              <w:t>and i</w:t>
            </w:r>
            <w:r w:rsidR="00DB7BEE" w:rsidRPr="005452DC">
              <w:rPr>
                <w:sz w:val="18"/>
                <w:szCs w:val="18"/>
              </w:rPr>
              <w:t>n an area with low cost-of-</w:t>
            </w:r>
            <w:r w:rsidR="00DB7BEE">
              <w:rPr>
                <w:sz w:val="18"/>
                <w:szCs w:val="18"/>
              </w:rPr>
              <w:t>living</w:t>
            </w:r>
            <w:r>
              <w:rPr>
                <w:sz w:val="18"/>
                <w:szCs w:val="18"/>
              </w:rPr>
              <w:t>)</w:t>
            </w:r>
          </w:p>
          <w:p w:rsidR="00DB7BEE" w:rsidRPr="00207EEE" w:rsidRDefault="00DB7BEE" w:rsidP="00D66AF0">
            <w:pPr>
              <w:pStyle w:val="NoSpacing"/>
              <w:rPr>
                <w:b/>
                <w:sz w:val="16"/>
                <w:szCs w:val="16"/>
              </w:rPr>
            </w:pPr>
          </w:p>
        </w:tc>
      </w:tr>
      <w:tr w:rsidR="00DB7BEE" w:rsidRPr="005452DC" w:rsidTr="00D46340">
        <w:trPr>
          <w:trHeight w:val="1520"/>
        </w:trPr>
        <w:tc>
          <w:tcPr>
            <w:tcW w:w="2160" w:type="dxa"/>
          </w:tcPr>
          <w:p w:rsidR="00DB7BEE" w:rsidRDefault="00DB7BEE" w:rsidP="00D66AF0">
            <w:pPr>
              <w:pStyle w:val="NoSpacing"/>
              <w:rPr>
                <w:sz w:val="16"/>
                <w:szCs w:val="16"/>
              </w:rPr>
            </w:pPr>
            <w:bookmarkStart w:id="2" w:name="_Hlk491619686"/>
            <w:bookmarkEnd w:id="1"/>
          </w:p>
          <w:p w:rsidR="00D46340" w:rsidRPr="005D0D97" w:rsidRDefault="00D46340" w:rsidP="00D66AF0">
            <w:pPr>
              <w:pStyle w:val="NoSpacing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234440" cy="987425"/>
                  <wp:effectExtent l="0" t="0" r="381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UITION.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7BEE" w:rsidRPr="00D46340" w:rsidRDefault="00DB7BEE" w:rsidP="003141D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  <w:r w:rsidRPr="0021276D">
              <w:rPr>
                <w:sz w:val="18"/>
                <w:szCs w:val="18"/>
              </w:rPr>
              <w:t>VT tuition</w:t>
            </w:r>
            <w:r w:rsidRPr="0021276D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is </w:t>
            </w:r>
            <w:r w:rsidRPr="0021276D">
              <w:rPr>
                <w:bCs/>
                <w:sz w:val="18"/>
                <w:szCs w:val="18"/>
              </w:rPr>
              <w:t>paid to VT</w:t>
            </w:r>
          </w:p>
          <w:p w:rsidR="00DB7BEE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Default="00DB7BEE" w:rsidP="00D66AF0">
            <w:pPr>
              <w:pStyle w:val="NoSpacing"/>
            </w:pPr>
            <w:r>
              <w:rPr>
                <w:sz w:val="18"/>
                <w:szCs w:val="18"/>
              </w:rPr>
              <w:t xml:space="preserve">You </w:t>
            </w:r>
            <w:r w:rsidRPr="00F16942">
              <w:rPr>
                <w:sz w:val="18"/>
                <w:szCs w:val="18"/>
              </w:rPr>
              <w:t xml:space="preserve">get </w:t>
            </w:r>
            <w:r>
              <w:rPr>
                <w:sz w:val="18"/>
                <w:szCs w:val="18"/>
              </w:rPr>
              <w:t xml:space="preserve">a </w:t>
            </w:r>
            <w:r w:rsidRPr="00F16942">
              <w:rPr>
                <w:sz w:val="18"/>
                <w:szCs w:val="18"/>
              </w:rPr>
              <w:t xml:space="preserve">20% </w:t>
            </w:r>
            <w:r>
              <w:rPr>
                <w:sz w:val="18"/>
                <w:szCs w:val="18"/>
              </w:rPr>
              <w:t xml:space="preserve">tuition </w:t>
            </w:r>
            <w:r w:rsidRPr="00F16942">
              <w:rPr>
                <w:sz w:val="18"/>
                <w:szCs w:val="18"/>
              </w:rPr>
              <w:t>discount</w:t>
            </w:r>
            <w:r>
              <w:t xml:space="preserve"> </w:t>
            </w:r>
          </w:p>
          <w:p w:rsidR="00DB7BEE" w:rsidRDefault="00DB7BEE" w:rsidP="00D66AF0">
            <w:pPr>
              <w:pStyle w:val="NoSpacing"/>
            </w:pPr>
          </w:p>
          <w:p w:rsidR="00DB7BEE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9A1149">
              <w:rPr>
                <w:sz w:val="18"/>
                <w:szCs w:val="18"/>
              </w:rPr>
              <w:t>For VT summer programs, you pay per credit hour</w:t>
            </w:r>
          </w:p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267219" w:rsidRDefault="00DB7BEE" w:rsidP="00267219">
            <w:pPr>
              <w:pStyle w:val="NoSpacing"/>
              <w:ind w:firstLine="166"/>
              <w:rPr>
                <w:bCs/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 xml:space="preserve">VT tuition </w:t>
            </w:r>
            <w:r>
              <w:rPr>
                <w:bCs/>
                <w:sz w:val="18"/>
                <w:szCs w:val="18"/>
              </w:rPr>
              <w:t>and fees</w:t>
            </w:r>
          </w:p>
          <w:p w:rsidR="00DB7BEE" w:rsidRPr="005452DC" w:rsidRDefault="00DB7BEE" w:rsidP="00267219">
            <w:pPr>
              <w:pStyle w:val="NoSpacing"/>
              <w:ind w:left="166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are </w:t>
            </w:r>
            <w:r w:rsidRPr="005452DC">
              <w:rPr>
                <w:bCs/>
                <w:sz w:val="18"/>
                <w:szCs w:val="18"/>
              </w:rPr>
              <w:t>paid to VT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Default="00DB7BEE" w:rsidP="00D66AF0">
            <w:pPr>
              <w:pStyle w:val="NoSpacing"/>
              <w:ind w:left="160"/>
              <w:rPr>
                <w:sz w:val="18"/>
                <w:szCs w:val="18"/>
              </w:rPr>
            </w:pPr>
          </w:p>
          <w:p w:rsidR="00267219" w:rsidRDefault="00267219" w:rsidP="00267219">
            <w:pPr>
              <w:pStyle w:val="NoSpacing"/>
              <w:ind w:firstLine="166"/>
              <w:rPr>
                <w:bCs/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 xml:space="preserve">VT tuition </w:t>
            </w:r>
            <w:r>
              <w:rPr>
                <w:bCs/>
                <w:sz w:val="18"/>
                <w:szCs w:val="18"/>
              </w:rPr>
              <w:t>and fees</w:t>
            </w:r>
          </w:p>
          <w:p w:rsidR="00267219" w:rsidRPr="005452DC" w:rsidRDefault="00267219" w:rsidP="00267219">
            <w:pPr>
              <w:pStyle w:val="NoSpacing"/>
              <w:ind w:left="16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are </w:t>
            </w:r>
            <w:r w:rsidRPr="005452DC">
              <w:rPr>
                <w:bCs/>
                <w:sz w:val="18"/>
                <w:szCs w:val="18"/>
              </w:rPr>
              <w:t>paid to VT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rPr>
                <w:sz w:val="18"/>
                <w:szCs w:val="18"/>
              </w:rPr>
            </w:pPr>
          </w:p>
          <w:p w:rsidR="00DB7BEE" w:rsidRPr="000D7A0F" w:rsidRDefault="00DB7BEE" w:rsidP="00D66AF0">
            <w:pPr>
              <w:pStyle w:val="NoSpacing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Host university tuition is paid directly to that university</w:t>
            </w:r>
          </w:p>
          <w:p w:rsidR="00DB7BEE" w:rsidRPr="005452DC" w:rsidRDefault="00DB7BEE" w:rsidP="00D66AF0">
            <w:pPr>
              <w:pStyle w:val="NoSpacing"/>
              <w:ind w:left="-20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DB7BEE" w:rsidRPr="005452DC" w:rsidRDefault="00DB7BEE" w:rsidP="00D66AF0">
            <w:pPr>
              <w:rPr>
                <w:sz w:val="18"/>
                <w:szCs w:val="18"/>
              </w:rPr>
            </w:pPr>
          </w:p>
          <w:p w:rsidR="00DB7BEE" w:rsidRDefault="00DB7BEE" w:rsidP="00D66AF0">
            <w:pPr>
              <w:rPr>
                <w:bCs/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Program fees </w:t>
            </w:r>
            <w:r>
              <w:rPr>
                <w:sz w:val="18"/>
                <w:szCs w:val="18"/>
              </w:rPr>
              <w:t xml:space="preserve">(covering tuition) </w:t>
            </w:r>
            <w:r w:rsidRPr="005452DC">
              <w:rPr>
                <w:sz w:val="18"/>
                <w:szCs w:val="18"/>
              </w:rPr>
              <w:t xml:space="preserve">are paid </w:t>
            </w:r>
            <w:r w:rsidRPr="005452DC">
              <w:rPr>
                <w:bCs/>
                <w:sz w:val="18"/>
                <w:szCs w:val="18"/>
              </w:rPr>
              <w:t>directly to the Third Party</w:t>
            </w:r>
          </w:p>
          <w:p w:rsidR="00DB7BEE" w:rsidRPr="005452DC" w:rsidRDefault="00DB7BEE" w:rsidP="00D66AF0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(you don’t pay any VT tuition)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ind w:right="-23"/>
              <w:rPr>
                <w:sz w:val="18"/>
                <w:szCs w:val="18"/>
              </w:rPr>
            </w:pPr>
          </w:p>
          <w:p w:rsidR="00DB7BEE" w:rsidRDefault="00DB7BEE" w:rsidP="00D66AF0">
            <w:pPr>
              <w:pStyle w:val="NoSpacing"/>
              <w:ind w:right="-2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Tuition and fees</w:t>
            </w:r>
            <w:r w:rsidRPr="005452D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are </w:t>
            </w:r>
            <w:r w:rsidRPr="005452DC">
              <w:rPr>
                <w:bCs/>
                <w:sz w:val="18"/>
                <w:szCs w:val="18"/>
              </w:rPr>
              <w:t>paid directly to the host university at local rates</w:t>
            </w:r>
          </w:p>
          <w:p w:rsidR="00DB7BEE" w:rsidRPr="005452DC" w:rsidRDefault="00DB7BEE" w:rsidP="00D66AF0">
            <w:pPr>
              <w:pStyle w:val="NoSpacing"/>
              <w:ind w:right="-23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(you don’t pay any VT tuition)</w:t>
            </w:r>
          </w:p>
        </w:tc>
      </w:tr>
      <w:tr w:rsidR="00DB7BEE" w:rsidRPr="005452DC" w:rsidTr="00D46340">
        <w:trPr>
          <w:trHeight w:val="1439"/>
        </w:trPr>
        <w:tc>
          <w:tcPr>
            <w:tcW w:w="2160" w:type="dxa"/>
          </w:tcPr>
          <w:p w:rsidR="00DB7BEE" w:rsidRPr="00033ED6" w:rsidRDefault="00DB7BEE" w:rsidP="00D66AF0">
            <w:pPr>
              <w:pStyle w:val="NoSpacing"/>
              <w:rPr>
                <w:b/>
                <w:color w:val="00B050"/>
                <w:sz w:val="16"/>
                <w:szCs w:val="16"/>
              </w:rPr>
            </w:pPr>
            <w:bookmarkStart w:id="3" w:name="_Hlk491619728"/>
            <w:bookmarkEnd w:id="2"/>
          </w:p>
          <w:p w:rsidR="00DB7BEE" w:rsidRDefault="00D46340" w:rsidP="00D66AF0">
            <w:pPr>
              <w:pStyle w:val="NoSpacing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noProof/>
                <w:color w:val="00B050"/>
                <w:sz w:val="44"/>
                <w:szCs w:val="44"/>
              </w:rPr>
              <w:drawing>
                <wp:inline distT="0" distB="0" distL="0" distR="0">
                  <wp:extent cx="1234440" cy="987425"/>
                  <wp:effectExtent l="0" t="0" r="381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GRAMFEEs (2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6340" w:rsidRPr="00D46340" w:rsidRDefault="00D46340" w:rsidP="00D66AF0">
            <w:pPr>
              <w:pStyle w:val="NoSpacing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21276D">
              <w:rPr>
                <w:sz w:val="18"/>
                <w:szCs w:val="18"/>
              </w:rPr>
              <w:t xml:space="preserve">Usually requires </w:t>
            </w:r>
            <w:r>
              <w:rPr>
                <w:sz w:val="18"/>
                <w:szCs w:val="18"/>
              </w:rPr>
              <w:t xml:space="preserve">a </w:t>
            </w:r>
            <w:r w:rsidRPr="0021276D">
              <w:rPr>
                <w:sz w:val="18"/>
                <w:szCs w:val="18"/>
              </w:rPr>
              <w:t xml:space="preserve">non-refundable </w:t>
            </w:r>
            <w:r w:rsidRPr="0021276D">
              <w:rPr>
                <w:bCs/>
                <w:sz w:val="18"/>
                <w:szCs w:val="18"/>
              </w:rPr>
              <w:t>application fee</w:t>
            </w:r>
            <w:r>
              <w:rPr>
                <w:bCs/>
                <w:sz w:val="18"/>
                <w:szCs w:val="18"/>
              </w:rPr>
              <w:t xml:space="preserve"> and/or deposit</w:t>
            </w:r>
          </w:p>
        </w:tc>
        <w:tc>
          <w:tcPr>
            <w:tcW w:w="279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Pr="005452DC" w:rsidRDefault="00DB7BEE" w:rsidP="00C034E2">
            <w:pPr>
              <w:pStyle w:val="NoSpacing"/>
              <w:rPr>
                <w:bCs/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$ 300 (</w:t>
            </w:r>
            <w:r w:rsidR="00C034E2">
              <w:rPr>
                <w:bCs/>
                <w:sz w:val="18"/>
                <w:szCs w:val="18"/>
              </w:rPr>
              <w:t>GEO fee</w:t>
            </w:r>
            <w:r w:rsidRPr="005452DC">
              <w:rPr>
                <w:bCs/>
                <w:sz w:val="18"/>
                <w:szCs w:val="18"/>
              </w:rPr>
              <w:t>)</w:t>
            </w:r>
            <w:r w:rsidR="00107A82">
              <w:rPr>
                <w:bCs/>
                <w:sz w:val="18"/>
                <w:szCs w:val="18"/>
              </w:rPr>
              <w:t xml:space="preserve"> will be charged to your account as soon as you’re nominated</w:t>
            </w:r>
          </w:p>
          <w:p w:rsidR="00DB7BEE" w:rsidRPr="00C034E2" w:rsidRDefault="00DB7BEE" w:rsidP="00C034E2">
            <w:pPr>
              <w:pStyle w:val="NoSpacing"/>
              <w:rPr>
                <w:b/>
                <w:strike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Default="00DB7BEE" w:rsidP="00DB7BEE">
            <w:pPr>
              <w:pStyle w:val="NoSpacing"/>
              <w:numPr>
                <w:ilvl w:val="0"/>
                <w:numId w:val="12"/>
              </w:numPr>
              <w:ind w:left="166" w:hanging="18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$ 50 (</w:t>
            </w:r>
            <w:r w:rsidRPr="005452DC">
              <w:rPr>
                <w:bCs/>
                <w:sz w:val="18"/>
                <w:szCs w:val="18"/>
              </w:rPr>
              <w:t>GEO fee</w:t>
            </w:r>
            <w:r>
              <w:rPr>
                <w:sz w:val="18"/>
                <w:szCs w:val="18"/>
              </w:rPr>
              <w:t>)</w:t>
            </w:r>
          </w:p>
          <w:p w:rsidR="00DB7BEE" w:rsidRDefault="00DB7BEE" w:rsidP="00DB7BEE">
            <w:pPr>
              <w:pStyle w:val="NoSpacing"/>
              <w:numPr>
                <w:ilvl w:val="0"/>
                <w:numId w:val="4"/>
              </w:numPr>
              <w:ind w:left="1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$ 100 (ISEP application fee) </w:t>
            </w:r>
          </w:p>
          <w:p w:rsidR="00DB7BEE" w:rsidRDefault="00DB7BEE" w:rsidP="00DB7BEE">
            <w:pPr>
              <w:pStyle w:val="NoSpacing"/>
              <w:numPr>
                <w:ilvl w:val="0"/>
                <w:numId w:val="4"/>
              </w:numPr>
              <w:ind w:left="1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$ 325 (ISEP placement fee if you accept the spot offered)</w:t>
            </w:r>
          </w:p>
          <w:p w:rsidR="00DB7BEE" w:rsidRPr="005452DC" w:rsidRDefault="00DB7BEE" w:rsidP="00DB7BEE">
            <w:pPr>
              <w:pStyle w:val="NoSpacing"/>
              <w:numPr>
                <w:ilvl w:val="0"/>
                <w:numId w:val="4"/>
              </w:numPr>
              <w:ind w:left="1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$ 86/month (mandatory insurance)</w:t>
            </w: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Pr="005452DC" w:rsidRDefault="00DB7BEE" w:rsidP="00DB7BEE">
            <w:pPr>
              <w:pStyle w:val="NoSpacing"/>
              <w:numPr>
                <w:ilvl w:val="0"/>
                <w:numId w:val="4"/>
              </w:numPr>
              <w:ind w:left="166" w:hanging="18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$ 50 (</w:t>
            </w:r>
            <w:r w:rsidRPr="005452DC">
              <w:rPr>
                <w:bCs/>
                <w:sz w:val="18"/>
                <w:szCs w:val="18"/>
              </w:rPr>
              <w:t>GEO fee</w:t>
            </w:r>
            <w:r>
              <w:rPr>
                <w:sz w:val="18"/>
                <w:szCs w:val="18"/>
              </w:rPr>
              <w:t>)</w:t>
            </w:r>
          </w:p>
          <w:p w:rsidR="00DB7BEE" w:rsidRDefault="00DB7BEE" w:rsidP="00DB7BEE">
            <w:pPr>
              <w:pStyle w:val="NoSpacing"/>
              <w:numPr>
                <w:ilvl w:val="0"/>
                <w:numId w:val="4"/>
              </w:numPr>
              <w:ind w:left="1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$ 100 (</w:t>
            </w:r>
            <w:r w:rsidRPr="000D7A0F">
              <w:rPr>
                <w:sz w:val="18"/>
                <w:szCs w:val="18"/>
              </w:rPr>
              <w:t xml:space="preserve">ISEP </w:t>
            </w:r>
            <w:r>
              <w:rPr>
                <w:sz w:val="18"/>
                <w:szCs w:val="18"/>
              </w:rPr>
              <w:t>application fee)</w:t>
            </w:r>
          </w:p>
          <w:p w:rsidR="00DB7BEE" w:rsidRPr="009D4913" w:rsidRDefault="00DB7BEE" w:rsidP="00DB7BEE">
            <w:pPr>
              <w:pStyle w:val="ListParagraph"/>
              <w:numPr>
                <w:ilvl w:val="0"/>
                <w:numId w:val="4"/>
              </w:numPr>
              <w:ind w:left="166" w:hanging="180"/>
              <w:rPr>
                <w:sz w:val="18"/>
                <w:szCs w:val="18"/>
              </w:rPr>
            </w:pPr>
            <w:r w:rsidRPr="009D4913">
              <w:rPr>
                <w:sz w:val="18"/>
                <w:szCs w:val="18"/>
              </w:rPr>
              <w:t>$ 325 (ISEP placement fee if you accept the spot offered)</w:t>
            </w:r>
          </w:p>
          <w:p w:rsidR="00DB7BEE" w:rsidRPr="000D7A0F" w:rsidRDefault="00DB7BEE" w:rsidP="00DB7BEE">
            <w:pPr>
              <w:pStyle w:val="NoSpacing"/>
              <w:numPr>
                <w:ilvl w:val="0"/>
                <w:numId w:val="4"/>
              </w:numPr>
              <w:ind w:left="1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$ 86/month (mandatory insurance</w:t>
            </w:r>
            <w:r w:rsidRPr="000D7A0F">
              <w:rPr>
                <w:sz w:val="18"/>
                <w:szCs w:val="18"/>
              </w:rPr>
              <w:t>)</w:t>
            </w: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DB7BEE" w:rsidRPr="005452DC" w:rsidRDefault="00DB7BEE" w:rsidP="00D66AF0">
            <w:pPr>
              <w:rPr>
                <w:bCs/>
                <w:sz w:val="18"/>
                <w:szCs w:val="18"/>
              </w:rPr>
            </w:pPr>
          </w:p>
          <w:p w:rsidR="00DB7BEE" w:rsidRDefault="00DB7BEE" w:rsidP="00D66A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$ 50 (</w:t>
            </w:r>
            <w:r w:rsidRPr="005452DC">
              <w:rPr>
                <w:bCs/>
                <w:sz w:val="18"/>
                <w:szCs w:val="18"/>
              </w:rPr>
              <w:t>GEO fee</w:t>
            </w:r>
            <w:r>
              <w:rPr>
                <w:bCs/>
                <w:sz w:val="18"/>
                <w:szCs w:val="18"/>
              </w:rPr>
              <w:t>)</w:t>
            </w:r>
          </w:p>
          <w:p w:rsidR="00DB7BEE" w:rsidRDefault="00DB7BEE" w:rsidP="00D66AF0">
            <w:pPr>
              <w:rPr>
                <w:bCs/>
                <w:sz w:val="18"/>
                <w:szCs w:val="18"/>
              </w:rPr>
            </w:pPr>
          </w:p>
          <w:p w:rsidR="00DB7BEE" w:rsidRPr="005452DC" w:rsidRDefault="00DB7BEE" w:rsidP="00D66AF0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Additional fees vary per Third Party provider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rPr>
                <w:bCs/>
                <w:sz w:val="18"/>
                <w:szCs w:val="18"/>
              </w:rPr>
            </w:pPr>
          </w:p>
          <w:p w:rsidR="00DB7BEE" w:rsidRPr="005452DC" w:rsidRDefault="00DB7BEE" w:rsidP="00D66AF0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$ 50 (</w:t>
            </w:r>
            <w:r w:rsidRPr="005452DC">
              <w:rPr>
                <w:bCs/>
                <w:sz w:val="18"/>
                <w:szCs w:val="18"/>
              </w:rPr>
              <w:t>GEO fee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DB7BEE" w:rsidRPr="005452DC" w:rsidTr="00D46340">
        <w:trPr>
          <w:trHeight w:val="2573"/>
        </w:trPr>
        <w:tc>
          <w:tcPr>
            <w:tcW w:w="2160" w:type="dxa"/>
          </w:tcPr>
          <w:p w:rsidR="00DB7BEE" w:rsidRPr="005452DC" w:rsidRDefault="00DB7BEE" w:rsidP="00D66AF0">
            <w:pPr>
              <w:pStyle w:val="NoSpacing"/>
              <w:rPr>
                <w:sz w:val="20"/>
                <w:szCs w:val="20"/>
              </w:rPr>
            </w:pPr>
            <w:bookmarkStart w:id="4" w:name="_Hlk491621158"/>
            <w:bookmarkEnd w:id="3"/>
          </w:p>
          <w:p w:rsidR="00DB7BEE" w:rsidRDefault="003141DC" w:rsidP="00D66AF0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234440" cy="984885"/>
                  <wp:effectExtent l="0" t="0" r="381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OUSING -ICO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6340" w:rsidRDefault="00D46340" w:rsidP="00D66AF0">
            <w:pPr>
              <w:pStyle w:val="NoSpacing"/>
              <w:rPr>
                <w:sz w:val="20"/>
                <w:szCs w:val="20"/>
              </w:rPr>
            </w:pPr>
          </w:p>
          <w:p w:rsidR="00D46340" w:rsidRDefault="00D46340" w:rsidP="00D66AF0">
            <w:pPr>
              <w:pStyle w:val="NoSpacing"/>
              <w:rPr>
                <w:sz w:val="20"/>
                <w:szCs w:val="20"/>
              </w:rPr>
            </w:pPr>
          </w:p>
          <w:p w:rsidR="00D46340" w:rsidRDefault="00D46340" w:rsidP="00D66AF0">
            <w:pPr>
              <w:pStyle w:val="NoSpacing"/>
              <w:rPr>
                <w:sz w:val="20"/>
                <w:szCs w:val="20"/>
              </w:rPr>
            </w:pPr>
          </w:p>
          <w:p w:rsidR="00D46340" w:rsidRPr="00D46340" w:rsidRDefault="00D46340" w:rsidP="00D66AF0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21276D" w:rsidRDefault="00DB7BEE" w:rsidP="00DB7BEE">
            <w:pPr>
              <w:pStyle w:val="NoSpacing"/>
              <w:numPr>
                <w:ilvl w:val="0"/>
                <w:numId w:val="6"/>
              </w:numPr>
              <w:ind w:left="250" w:hanging="270"/>
              <w:rPr>
                <w:sz w:val="18"/>
                <w:szCs w:val="18"/>
              </w:rPr>
            </w:pPr>
            <w:r w:rsidRPr="0021276D">
              <w:rPr>
                <w:sz w:val="18"/>
                <w:szCs w:val="18"/>
              </w:rPr>
              <w:t>The cost of room and board is included in the total cost of the program</w:t>
            </w:r>
          </w:p>
          <w:p w:rsidR="00DB7BEE" w:rsidRDefault="00DB7BEE" w:rsidP="00D66AF0">
            <w:pPr>
              <w:pStyle w:val="NoSpacing"/>
              <w:ind w:left="250"/>
              <w:rPr>
                <w:sz w:val="18"/>
                <w:szCs w:val="18"/>
              </w:rPr>
            </w:pPr>
          </w:p>
          <w:p w:rsidR="00DB7BEE" w:rsidRPr="0021276D" w:rsidRDefault="00DB7BEE" w:rsidP="00DB7BEE">
            <w:pPr>
              <w:pStyle w:val="NoSpacing"/>
              <w:numPr>
                <w:ilvl w:val="0"/>
                <w:numId w:val="6"/>
              </w:numPr>
              <w:ind w:left="250" w:hanging="270"/>
              <w:rPr>
                <w:sz w:val="18"/>
                <w:szCs w:val="18"/>
              </w:rPr>
            </w:pPr>
            <w:r w:rsidRPr="0021276D">
              <w:rPr>
                <w:sz w:val="18"/>
                <w:szCs w:val="18"/>
              </w:rPr>
              <w:t xml:space="preserve">Housing will be arranged </w:t>
            </w:r>
          </w:p>
          <w:p w:rsidR="00DB7BEE" w:rsidRPr="0021276D" w:rsidRDefault="00DB7BEE" w:rsidP="00D66AF0">
            <w:pPr>
              <w:pStyle w:val="NoSpacing"/>
              <w:ind w:left="250" w:hanging="270"/>
              <w:rPr>
                <w:sz w:val="18"/>
                <w:szCs w:val="18"/>
              </w:rPr>
            </w:pPr>
          </w:p>
          <w:p w:rsidR="00DB7BEE" w:rsidRPr="0021276D" w:rsidRDefault="00DB7BEE" w:rsidP="00DB7BEE">
            <w:pPr>
              <w:pStyle w:val="NoSpacing"/>
              <w:numPr>
                <w:ilvl w:val="0"/>
                <w:numId w:val="6"/>
              </w:numPr>
              <w:ind w:left="250" w:hanging="270"/>
              <w:rPr>
                <w:sz w:val="18"/>
                <w:szCs w:val="18"/>
              </w:rPr>
            </w:pPr>
            <w:r w:rsidRPr="0021276D">
              <w:rPr>
                <w:sz w:val="18"/>
                <w:szCs w:val="18"/>
              </w:rPr>
              <w:t>Trips may include a home-stay (living with a local family) option</w:t>
            </w:r>
            <w:r>
              <w:rPr>
                <w:sz w:val="18"/>
                <w:szCs w:val="18"/>
              </w:rPr>
              <w:t>, or ho(s)</w:t>
            </w:r>
            <w:proofErr w:type="spellStart"/>
            <w:r>
              <w:rPr>
                <w:sz w:val="18"/>
                <w:szCs w:val="18"/>
              </w:rPr>
              <w:t>tels</w:t>
            </w:r>
            <w:proofErr w:type="spellEnd"/>
          </w:p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Default="00DB7BEE" w:rsidP="00DB7BEE">
            <w:pPr>
              <w:pStyle w:val="NoSpacing"/>
              <w:numPr>
                <w:ilvl w:val="0"/>
                <w:numId w:val="7"/>
              </w:numPr>
              <w:ind w:left="160" w:hanging="160"/>
              <w:rPr>
                <w:bCs/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You p</w:t>
            </w:r>
            <w:r w:rsidRPr="005452DC">
              <w:rPr>
                <w:bCs/>
                <w:sz w:val="18"/>
                <w:szCs w:val="18"/>
              </w:rPr>
              <w:t>ay room and board to the host university</w:t>
            </w:r>
          </w:p>
          <w:p w:rsidR="00DB7BEE" w:rsidRDefault="00DB7BEE" w:rsidP="00D66AF0">
            <w:pPr>
              <w:pStyle w:val="NoSpacing"/>
              <w:ind w:left="160"/>
              <w:rPr>
                <w:sz w:val="18"/>
                <w:szCs w:val="18"/>
              </w:rPr>
            </w:pPr>
          </w:p>
          <w:p w:rsidR="00DB7BEE" w:rsidRPr="0045737D" w:rsidRDefault="00DB7BEE" w:rsidP="00DB7BEE">
            <w:pPr>
              <w:pStyle w:val="NoSpacing"/>
              <w:numPr>
                <w:ilvl w:val="0"/>
                <w:numId w:val="7"/>
              </w:numPr>
              <w:ind w:left="160" w:hanging="160"/>
              <w:rPr>
                <w:sz w:val="18"/>
                <w:szCs w:val="18"/>
              </w:rPr>
            </w:pPr>
            <w:r w:rsidRPr="0045737D">
              <w:rPr>
                <w:sz w:val="18"/>
                <w:szCs w:val="18"/>
              </w:rPr>
              <w:t>You work with the host university to determine most affordable housing</w:t>
            </w:r>
          </w:p>
          <w:p w:rsidR="00DB7BEE" w:rsidRDefault="00DB7BEE" w:rsidP="00D66AF0">
            <w:pPr>
              <w:pStyle w:val="NoSpacing"/>
              <w:ind w:left="160" w:hanging="270"/>
              <w:rPr>
                <w:bCs/>
                <w:sz w:val="18"/>
                <w:szCs w:val="18"/>
              </w:rPr>
            </w:pPr>
          </w:p>
          <w:p w:rsidR="00DB7BEE" w:rsidRDefault="00DB7BEE" w:rsidP="00DB7BEE">
            <w:pPr>
              <w:pStyle w:val="NoSpacing"/>
              <w:numPr>
                <w:ilvl w:val="0"/>
                <w:numId w:val="7"/>
              </w:numPr>
              <w:ind w:left="160" w:hanging="18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Housing varies from a home-stay (living with a local family) to </w:t>
            </w:r>
            <w:r>
              <w:rPr>
                <w:sz w:val="18"/>
                <w:szCs w:val="18"/>
              </w:rPr>
              <w:t xml:space="preserve">dorms or </w:t>
            </w:r>
            <w:r w:rsidRPr="005452DC">
              <w:rPr>
                <w:sz w:val="18"/>
                <w:szCs w:val="18"/>
              </w:rPr>
              <w:t>apartments</w:t>
            </w:r>
          </w:p>
          <w:p w:rsidR="008B4441" w:rsidRDefault="008B4441" w:rsidP="008B4441">
            <w:pPr>
              <w:pStyle w:val="ListParagraph"/>
              <w:rPr>
                <w:sz w:val="18"/>
                <w:szCs w:val="18"/>
              </w:rPr>
            </w:pPr>
          </w:p>
          <w:p w:rsidR="008B4441" w:rsidRPr="005452DC" w:rsidRDefault="008B4441" w:rsidP="00DB7BEE">
            <w:pPr>
              <w:pStyle w:val="NoSpacing"/>
              <w:numPr>
                <w:ilvl w:val="0"/>
                <w:numId w:val="7"/>
              </w:numPr>
              <w:ind w:left="1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some exchange programs, such as Kansai </w:t>
            </w:r>
            <w:proofErr w:type="spellStart"/>
            <w:r>
              <w:rPr>
                <w:sz w:val="18"/>
                <w:szCs w:val="18"/>
              </w:rPr>
              <w:t>Gaidai</w:t>
            </w:r>
            <w:proofErr w:type="spellEnd"/>
            <w:r>
              <w:rPr>
                <w:sz w:val="18"/>
                <w:szCs w:val="18"/>
              </w:rPr>
              <w:t xml:space="preserve"> and Caen, </w:t>
            </w:r>
            <w:proofErr w:type="gramStart"/>
            <w:r>
              <w:rPr>
                <w:sz w:val="18"/>
                <w:szCs w:val="18"/>
              </w:rPr>
              <w:t>a $5,900 room/board fee will be assessed by Virginia Tech</w:t>
            </w:r>
            <w:proofErr w:type="gramEnd"/>
            <w:r>
              <w:rPr>
                <w:sz w:val="18"/>
                <w:szCs w:val="18"/>
              </w:rPr>
              <w:t>.</w:t>
            </w:r>
            <w:bookmarkStart w:id="5" w:name="_GoBack"/>
            <w:bookmarkEnd w:id="5"/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B7BEE">
            <w:pPr>
              <w:pStyle w:val="NoSpacing"/>
              <w:numPr>
                <w:ilvl w:val="0"/>
                <w:numId w:val="8"/>
              </w:numPr>
              <w:ind w:left="250" w:hanging="25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You pay r</w:t>
            </w:r>
            <w:r w:rsidRPr="005452DC">
              <w:rPr>
                <w:bCs/>
                <w:sz w:val="18"/>
                <w:szCs w:val="18"/>
              </w:rPr>
              <w:t>oom and board to VT (about $ 5,</w:t>
            </w:r>
            <w:r w:rsidR="008B4441">
              <w:rPr>
                <w:bCs/>
                <w:sz w:val="18"/>
                <w:szCs w:val="18"/>
              </w:rPr>
              <w:t>9</w:t>
            </w:r>
            <w:r w:rsidRPr="005452DC">
              <w:rPr>
                <w:bCs/>
                <w:sz w:val="18"/>
                <w:szCs w:val="18"/>
              </w:rPr>
              <w:t>00 a semester)</w:t>
            </w:r>
          </w:p>
          <w:p w:rsidR="00DB7BEE" w:rsidRPr="0045737D" w:rsidRDefault="00DB7BEE" w:rsidP="00D66AF0">
            <w:pPr>
              <w:pStyle w:val="NoSpacing"/>
              <w:ind w:left="250"/>
              <w:rPr>
                <w:bCs/>
                <w:sz w:val="18"/>
                <w:szCs w:val="18"/>
              </w:rPr>
            </w:pPr>
          </w:p>
          <w:p w:rsidR="00DB7BEE" w:rsidRPr="005452DC" w:rsidRDefault="00DB7BEE" w:rsidP="00DB7BEE">
            <w:pPr>
              <w:pStyle w:val="NoSpacing"/>
              <w:numPr>
                <w:ilvl w:val="0"/>
                <w:numId w:val="8"/>
              </w:numPr>
              <w:ind w:left="250" w:hanging="250"/>
              <w:rPr>
                <w:bCs/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Might require finding housing yourself</w:t>
            </w:r>
          </w:p>
          <w:p w:rsidR="00DB7BEE" w:rsidRPr="005452DC" w:rsidRDefault="00DB7BEE" w:rsidP="00D66AF0">
            <w:pPr>
              <w:pStyle w:val="NoSpacing"/>
              <w:ind w:left="250" w:hanging="250"/>
              <w:rPr>
                <w:bCs/>
                <w:sz w:val="18"/>
                <w:szCs w:val="18"/>
              </w:rPr>
            </w:pPr>
          </w:p>
          <w:p w:rsidR="00DB7BEE" w:rsidRPr="005452DC" w:rsidRDefault="00DB7BEE" w:rsidP="00D46340">
            <w:pPr>
              <w:pStyle w:val="NoSpacing"/>
              <w:numPr>
                <w:ilvl w:val="0"/>
                <w:numId w:val="8"/>
              </w:numPr>
              <w:ind w:left="250" w:hanging="25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Housing varies from a home-stay (living with a local family) to </w:t>
            </w:r>
            <w:r>
              <w:rPr>
                <w:sz w:val="18"/>
                <w:szCs w:val="18"/>
              </w:rPr>
              <w:t xml:space="preserve">dorms or </w:t>
            </w:r>
            <w:r w:rsidRPr="005452DC">
              <w:rPr>
                <w:sz w:val="18"/>
                <w:szCs w:val="18"/>
              </w:rPr>
              <w:t>apartments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B7BEE">
            <w:pPr>
              <w:pStyle w:val="NoSpacing"/>
              <w:numPr>
                <w:ilvl w:val="0"/>
                <w:numId w:val="9"/>
              </w:numPr>
              <w:ind w:left="340" w:hanging="27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You pay r</w:t>
            </w:r>
            <w:r w:rsidRPr="005452DC">
              <w:rPr>
                <w:bCs/>
                <w:sz w:val="18"/>
                <w:szCs w:val="18"/>
              </w:rPr>
              <w:t xml:space="preserve">oom and board to </w:t>
            </w:r>
            <w:r>
              <w:rPr>
                <w:bCs/>
                <w:sz w:val="18"/>
                <w:szCs w:val="18"/>
              </w:rPr>
              <w:t>host institution</w:t>
            </w:r>
          </w:p>
          <w:p w:rsidR="00DB7BEE" w:rsidRPr="0045737D" w:rsidRDefault="00DB7BEE" w:rsidP="00D66AF0">
            <w:pPr>
              <w:pStyle w:val="NoSpacing"/>
              <w:ind w:left="340"/>
              <w:rPr>
                <w:bCs/>
                <w:sz w:val="18"/>
                <w:szCs w:val="18"/>
              </w:rPr>
            </w:pPr>
          </w:p>
          <w:p w:rsidR="00DB7BEE" w:rsidRPr="005452DC" w:rsidRDefault="00DB7BEE" w:rsidP="00DB7BEE">
            <w:pPr>
              <w:pStyle w:val="NoSpacing"/>
              <w:numPr>
                <w:ilvl w:val="0"/>
                <w:numId w:val="9"/>
              </w:numPr>
              <w:ind w:left="340" w:hanging="270"/>
              <w:rPr>
                <w:bCs/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Might require finding housing yourself</w:t>
            </w:r>
          </w:p>
          <w:p w:rsidR="00DB7BEE" w:rsidRPr="005452DC" w:rsidRDefault="00DB7BEE" w:rsidP="00D66AF0">
            <w:pPr>
              <w:pStyle w:val="NoSpacing"/>
              <w:ind w:left="340" w:hanging="270"/>
              <w:rPr>
                <w:bCs/>
                <w:sz w:val="18"/>
                <w:szCs w:val="18"/>
              </w:rPr>
            </w:pPr>
          </w:p>
          <w:p w:rsidR="00DB7BEE" w:rsidRPr="005452DC" w:rsidRDefault="00DB7BEE" w:rsidP="00DB7BEE">
            <w:pPr>
              <w:pStyle w:val="NoSpacing"/>
              <w:numPr>
                <w:ilvl w:val="0"/>
                <w:numId w:val="9"/>
              </w:numPr>
              <w:ind w:left="34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Housing varies from a home-stay (living with a local family) to </w:t>
            </w:r>
            <w:r>
              <w:rPr>
                <w:sz w:val="18"/>
                <w:szCs w:val="18"/>
              </w:rPr>
              <w:t xml:space="preserve">dorms or </w:t>
            </w:r>
            <w:r w:rsidRPr="005452DC">
              <w:rPr>
                <w:sz w:val="18"/>
                <w:szCs w:val="18"/>
              </w:rPr>
              <w:t>apartments</w:t>
            </w: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B7BEE">
            <w:pPr>
              <w:pStyle w:val="NoSpacing"/>
              <w:numPr>
                <w:ilvl w:val="0"/>
                <w:numId w:val="10"/>
              </w:numPr>
              <w:ind w:left="250" w:hanging="18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The cost of room and board is included in the total </w:t>
            </w:r>
            <w:r>
              <w:rPr>
                <w:sz w:val="18"/>
                <w:szCs w:val="18"/>
              </w:rPr>
              <w:t xml:space="preserve">program </w:t>
            </w:r>
            <w:r w:rsidRPr="005452DC">
              <w:rPr>
                <w:sz w:val="18"/>
                <w:szCs w:val="18"/>
              </w:rPr>
              <w:t>cost</w:t>
            </w:r>
          </w:p>
          <w:p w:rsidR="00DB7BEE" w:rsidRDefault="00DB7BEE" w:rsidP="00D66AF0">
            <w:pPr>
              <w:pStyle w:val="NoSpacing"/>
              <w:ind w:left="250"/>
              <w:rPr>
                <w:sz w:val="18"/>
                <w:szCs w:val="18"/>
              </w:rPr>
            </w:pPr>
          </w:p>
          <w:p w:rsidR="00DB7BEE" w:rsidRPr="005452DC" w:rsidRDefault="00DB7BEE" w:rsidP="00DB7BEE">
            <w:pPr>
              <w:pStyle w:val="NoSpacing"/>
              <w:numPr>
                <w:ilvl w:val="0"/>
                <w:numId w:val="10"/>
              </w:numPr>
              <w:ind w:left="250" w:hanging="18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Housing will be arranged </w:t>
            </w:r>
          </w:p>
          <w:p w:rsidR="00DB7BEE" w:rsidRPr="005452DC" w:rsidRDefault="00DB7BEE" w:rsidP="00D66AF0">
            <w:pPr>
              <w:pStyle w:val="NoSpacing"/>
              <w:ind w:left="250" w:hanging="180"/>
              <w:rPr>
                <w:sz w:val="18"/>
                <w:szCs w:val="18"/>
              </w:rPr>
            </w:pPr>
          </w:p>
          <w:p w:rsidR="00DB7BEE" w:rsidRPr="005452DC" w:rsidRDefault="00DB7BEE" w:rsidP="00DB7BEE">
            <w:pPr>
              <w:pStyle w:val="NoSpacing"/>
              <w:numPr>
                <w:ilvl w:val="0"/>
                <w:numId w:val="10"/>
              </w:numPr>
              <w:ind w:left="250" w:hanging="18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Housing varies from a home-stay (living with a local family) to </w:t>
            </w:r>
            <w:r>
              <w:rPr>
                <w:sz w:val="18"/>
                <w:szCs w:val="18"/>
              </w:rPr>
              <w:t xml:space="preserve">dorms or </w:t>
            </w:r>
            <w:r w:rsidRPr="005452DC">
              <w:rPr>
                <w:sz w:val="18"/>
                <w:szCs w:val="18"/>
              </w:rPr>
              <w:t>apartments</w:t>
            </w: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93256D" w:rsidRDefault="00DB7BEE" w:rsidP="00DB7BEE">
            <w:pPr>
              <w:pStyle w:val="NoSpacing"/>
              <w:numPr>
                <w:ilvl w:val="0"/>
                <w:numId w:val="11"/>
              </w:numPr>
              <w:ind w:left="250" w:hanging="25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You p</w:t>
            </w:r>
            <w:r w:rsidRPr="005452DC">
              <w:rPr>
                <w:bCs/>
                <w:sz w:val="18"/>
                <w:szCs w:val="18"/>
              </w:rPr>
              <w:t xml:space="preserve">ay room and board to the host university </w:t>
            </w:r>
          </w:p>
          <w:p w:rsidR="00DB7BEE" w:rsidRDefault="00DB7BEE" w:rsidP="00D66AF0">
            <w:pPr>
              <w:pStyle w:val="NoSpacing"/>
              <w:ind w:left="250"/>
              <w:rPr>
                <w:sz w:val="18"/>
                <w:szCs w:val="18"/>
              </w:rPr>
            </w:pPr>
          </w:p>
          <w:p w:rsidR="00DB7BEE" w:rsidRPr="005452DC" w:rsidRDefault="00DB7BEE" w:rsidP="00DB7BEE">
            <w:pPr>
              <w:pStyle w:val="NoSpacing"/>
              <w:numPr>
                <w:ilvl w:val="0"/>
                <w:numId w:val="11"/>
              </w:numPr>
              <w:ind w:left="250" w:hanging="25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You need to work with the host institution to determine most affordable housing</w:t>
            </w:r>
          </w:p>
          <w:p w:rsidR="00DB7BEE" w:rsidRPr="005452DC" w:rsidRDefault="00DB7BEE" w:rsidP="00D66AF0">
            <w:pPr>
              <w:pStyle w:val="NoSpacing"/>
              <w:ind w:left="250" w:hanging="250"/>
              <w:rPr>
                <w:sz w:val="18"/>
                <w:szCs w:val="18"/>
              </w:rPr>
            </w:pPr>
          </w:p>
          <w:p w:rsidR="00DB7BEE" w:rsidRPr="005452DC" w:rsidRDefault="00DB7BEE" w:rsidP="00DB7BEE">
            <w:pPr>
              <w:pStyle w:val="NoSpacing"/>
              <w:numPr>
                <w:ilvl w:val="0"/>
                <w:numId w:val="10"/>
              </w:numPr>
              <w:ind w:left="250" w:hanging="18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Housing varies from </w:t>
            </w:r>
            <w:r>
              <w:rPr>
                <w:sz w:val="18"/>
                <w:szCs w:val="18"/>
              </w:rPr>
              <w:t xml:space="preserve">dorms to </w:t>
            </w:r>
            <w:r w:rsidRPr="005452DC">
              <w:rPr>
                <w:sz w:val="18"/>
                <w:szCs w:val="18"/>
              </w:rPr>
              <w:t>apartments</w:t>
            </w:r>
          </w:p>
          <w:p w:rsidR="00DB7BEE" w:rsidRPr="005452DC" w:rsidRDefault="00DB7BEE" w:rsidP="00D66AF0">
            <w:pPr>
              <w:pStyle w:val="NoSpacing"/>
              <w:ind w:left="250"/>
              <w:rPr>
                <w:sz w:val="18"/>
                <w:szCs w:val="18"/>
              </w:rPr>
            </w:pPr>
          </w:p>
        </w:tc>
      </w:tr>
      <w:tr w:rsidR="00DB7BEE" w:rsidRPr="005452DC" w:rsidTr="00D46340">
        <w:trPr>
          <w:trHeight w:val="1439"/>
        </w:trPr>
        <w:tc>
          <w:tcPr>
            <w:tcW w:w="2160" w:type="dxa"/>
          </w:tcPr>
          <w:p w:rsidR="00DB7BEE" w:rsidRPr="005D0D97" w:rsidRDefault="00DB7BEE" w:rsidP="00D66AF0">
            <w:pPr>
              <w:pStyle w:val="NoSpacing"/>
              <w:rPr>
                <w:b/>
                <w:sz w:val="16"/>
                <w:szCs w:val="16"/>
              </w:rPr>
            </w:pPr>
            <w:bookmarkStart w:id="6" w:name="_Hlk491621455"/>
            <w:bookmarkEnd w:id="4"/>
          </w:p>
          <w:p w:rsidR="00DB7BEE" w:rsidRDefault="003141DC" w:rsidP="00D66AF0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1234440" cy="983615"/>
                  <wp:effectExtent l="0" t="0" r="381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redits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83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7219" w:rsidRPr="00D46340" w:rsidRDefault="00267219" w:rsidP="00D66AF0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21276D" w:rsidRDefault="00DB7BEE" w:rsidP="00D66AF0">
            <w:pPr>
              <w:pStyle w:val="NoSpacing"/>
              <w:numPr>
                <w:ilvl w:val="0"/>
                <w:numId w:val="2"/>
              </w:numPr>
              <w:ind w:left="250" w:hanging="250"/>
              <w:rPr>
                <w:sz w:val="18"/>
                <w:szCs w:val="18"/>
              </w:rPr>
            </w:pPr>
            <w:r w:rsidRPr="0021276D">
              <w:rPr>
                <w:sz w:val="18"/>
                <w:szCs w:val="18"/>
              </w:rPr>
              <w:t>VT credit</w:t>
            </w:r>
          </w:p>
          <w:p w:rsidR="00DB7BEE" w:rsidRPr="0021276D" w:rsidRDefault="00DB7BEE" w:rsidP="00D66AF0">
            <w:pPr>
              <w:pStyle w:val="NoSpacing"/>
              <w:numPr>
                <w:ilvl w:val="0"/>
                <w:numId w:val="2"/>
              </w:numPr>
              <w:ind w:left="250" w:hanging="250"/>
              <w:rPr>
                <w:sz w:val="18"/>
                <w:szCs w:val="18"/>
              </w:rPr>
            </w:pPr>
            <w:r w:rsidRPr="0021276D">
              <w:rPr>
                <w:sz w:val="18"/>
                <w:szCs w:val="18"/>
              </w:rPr>
              <w:t xml:space="preserve">Grades transfer </w:t>
            </w:r>
          </w:p>
          <w:p w:rsidR="00DB7BEE" w:rsidRPr="0021276D" w:rsidRDefault="00DB7BEE" w:rsidP="00D66AF0">
            <w:pPr>
              <w:pStyle w:val="NoSpacing"/>
              <w:numPr>
                <w:ilvl w:val="0"/>
                <w:numId w:val="2"/>
              </w:numPr>
              <w:ind w:left="250" w:hanging="250"/>
              <w:rPr>
                <w:sz w:val="18"/>
                <w:szCs w:val="18"/>
              </w:rPr>
            </w:pPr>
            <w:r w:rsidRPr="0021276D">
              <w:rPr>
                <w:sz w:val="18"/>
                <w:szCs w:val="18"/>
              </w:rPr>
              <w:t>affects GPA</w:t>
            </w:r>
          </w:p>
        </w:tc>
        <w:tc>
          <w:tcPr>
            <w:tcW w:w="279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160" w:hanging="18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Transfer credit (T-credit)</w:t>
            </w: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160" w:hanging="18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Grades do not transfer</w:t>
            </w: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160" w:hanging="18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Does not impact GPA</w:t>
            </w: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160" w:hanging="18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Must achieve a "C" at least to receive T-credit </w:t>
            </w:r>
          </w:p>
          <w:p w:rsidR="00DB7BEE" w:rsidRPr="005452DC" w:rsidRDefault="00DB7BEE" w:rsidP="00D66AF0">
            <w:pPr>
              <w:pStyle w:val="NoSpacing"/>
              <w:ind w:left="160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Transfer credit (T-credit)</w:t>
            </w: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Grades do not transfer</w:t>
            </w: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Does not impact GPA</w:t>
            </w: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Must achieve a "C" at least to receive T-credit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Transfer credit (T-credit)</w:t>
            </w: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Grades do not transfer</w:t>
            </w: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Does not impact GPA</w:t>
            </w: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6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Must achieve a "C" at least to receive T-credit</w:t>
            </w:r>
          </w:p>
        </w:tc>
        <w:tc>
          <w:tcPr>
            <w:tcW w:w="288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Transfer credit (T-credit)</w:t>
            </w: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Grades do not transfer</w:t>
            </w: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Does not impact GPA</w:t>
            </w: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Must achieve a "C" at least to receive T-credit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Transfer credit (T-credit)</w:t>
            </w: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Grades do not transfer</w:t>
            </w: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Does not impact GPA</w:t>
            </w:r>
          </w:p>
          <w:p w:rsidR="00DB7BEE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Must achieve a "C" at least to receive T-credit</w:t>
            </w:r>
          </w:p>
          <w:p w:rsidR="00DB7BEE" w:rsidRPr="005452DC" w:rsidRDefault="00DB7BEE" w:rsidP="00D66AF0">
            <w:pPr>
              <w:pStyle w:val="NoSpacing"/>
              <w:ind w:left="250"/>
              <w:rPr>
                <w:sz w:val="18"/>
                <w:szCs w:val="18"/>
              </w:rPr>
            </w:pPr>
          </w:p>
        </w:tc>
      </w:tr>
      <w:tr w:rsidR="00DB7BEE" w:rsidRPr="005452DC" w:rsidTr="00D46340">
        <w:trPr>
          <w:trHeight w:val="1655"/>
        </w:trPr>
        <w:tc>
          <w:tcPr>
            <w:tcW w:w="2160" w:type="dxa"/>
          </w:tcPr>
          <w:p w:rsidR="00DB7BEE" w:rsidRDefault="00DB7BEE" w:rsidP="00D66AF0">
            <w:pPr>
              <w:pStyle w:val="NoSpacing"/>
              <w:rPr>
                <w:sz w:val="16"/>
                <w:szCs w:val="16"/>
              </w:rPr>
            </w:pPr>
            <w:bookmarkStart w:id="7" w:name="_Hlk491622177"/>
            <w:bookmarkEnd w:id="6"/>
          </w:p>
          <w:p w:rsidR="00D46340" w:rsidRPr="00EE2B68" w:rsidRDefault="00D46340" w:rsidP="00D66AF0">
            <w:pPr>
              <w:pStyle w:val="NoSpacing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234440" cy="982345"/>
                  <wp:effectExtent l="0" t="0" r="381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MPETITVENES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8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7BEE" w:rsidRPr="00D46340" w:rsidRDefault="00DB7BEE" w:rsidP="00D66AF0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DB7BEE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A704BC">
              <w:rPr>
                <w:sz w:val="18"/>
                <w:szCs w:val="18"/>
              </w:rPr>
              <w:t>Some programs are competitive</w:t>
            </w:r>
          </w:p>
          <w:p w:rsidR="00DB7BEE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(Check with the program director for details)</w:t>
            </w:r>
          </w:p>
        </w:tc>
        <w:tc>
          <w:tcPr>
            <w:tcW w:w="2790" w:type="dxa"/>
            <w:shd w:val="clear" w:color="auto" w:fill="FFFFFF" w:themeFill="background1"/>
          </w:tcPr>
          <w:p w:rsidR="00DB7BEE" w:rsidRDefault="00DB7BEE" w:rsidP="00D66AF0">
            <w:pPr>
              <w:pStyle w:val="NoSpacing"/>
              <w:shd w:val="clear" w:color="auto" w:fill="FFFFFF" w:themeFill="background1"/>
              <w:rPr>
                <w:sz w:val="18"/>
                <w:szCs w:val="18"/>
              </w:rPr>
            </w:pPr>
          </w:p>
          <w:p w:rsidR="00DB7BEE" w:rsidRPr="005452DC" w:rsidRDefault="00F87FFA" w:rsidP="00D66AF0">
            <w:pPr>
              <w:pStyle w:val="NoSpacing"/>
              <w:rPr>
                <w:sz w:val="18"/>
                <w:szCs w:val="18"/>
              </w:rPr>
            </w:pPr>
            <w:r w:rsidRPr="007E60D4">
              <w:rPr>
                <w:sz w:val="18"/>
                <w:szCs w:val="18"/>
              </w:rPr>
              <w:t xml:space="preserve">Overall, our exchange programs tend to be competitive (especially the UK, Australia and Germany). </w:t>
            </w:r>
            <w:r w:rsidR="00DB7BEE">
              <w:rPr>
                <w:sz w:val="18"/>
                <w:szCs w:val="18"/>
              </w:rPr>
              <w:t xml:space="preserve">We strive to </w:t>
            </w:r>
            <w:r w:rsidR="00DB7BEE" w:rsidRPr="005452DC">
              <w:rPr>
                <w:sz w:val="18"/>
                <w:szCs w:val="18"/>
              </w:rPr>
              <w:t xml:space="preserve">place you </w:t>
            </w:r>
            <w:r w:rsidR="00DB7BEE">
              <w:rPr>
                <w:sz w:val="18"/>
                <w:szCs w:val="18"/>
              </w:rPr>
              <w:t>in</w:t>
            </w:r>
            <w:r w:rsidR="00DB7BEE" w:rsidRPr="005452DC">
              <w:rPr>
                <w:sz w:val="18"/>
                <w:szCs w:val="18"/>
              </w:rPr>
              <w:t xml:space="preserve"> </w:t>
            </w:r>
            <w:r w:rsidR="00DB7BEE">
              <w:rPr>
                <w:sz w:val="18"/>
                <w:szCs w:val="18"/>
              </w:rPr>
              <w:t xml:space="preserve">one of your chosen universities </w:t>
            </w:r>
            <w:r w:rsidR="00DB7BEE" w:rsidRPr="005452DC">
              <w:rPr>
                <w:sz w:val="18"/>
                <w:szCs w:val="18"/>
              </w:rPr>
              <w:t>depending on exchang</w:t>
            </w:r>
            <w:r w:rsidR="00DB7BEE">
              <w:rPr>
                <w:sz w:val="18"/>
                <w:szCs w:val="18"/>
              </w:rPr>
              <w:t>e space and your academic need</w:t>
            </w:r>
            <w:r w:rsidR="00C034E2">
              <w:rPr>
                <w:sz w:val="18"/>
                <w:szCs w:val="18"/>
              </w:rPr>
              <w:t>.</w:t>
            </w:r>
          </w:p>
          <w:p w:rsidR="00DB7BEE" w:rsidRPr="005452DC" w:rsidRDefault="00DB7BEE" w:rsidP="00D66AF0">
            <w:pPr>
              <w:pStyle w:val="NoSpacing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DB7BEE" w:rsidRDefault="00DB7BEE" w:rsidP="00D66AF0">
            <w:pPr>
              <w:rPr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ISEP will </w:t>
            </w:r>
            <w:r>
              <w:rPr>
                <w:sz w:val="18"/>
                <w:szCs w:val="18"/>
              </w:rPr>
              <w:t xml:space="preserve">try to </w:t>
            </w:r>
            <w:r w:rsidRPr="005452DC">
              <w:rPr>
                <w:sz w:val="18"/>
                <w:szCs w:val="18"/>
              </w:rPr>
              <w:t xml:space="preserve">place you </w:t>
            </w:r>
            <w:r>
              <w:rPr>
                <w:sz w:val="18"/>
                <w:szCs w:val="18"/>
              </w:rPr>
              <w:t>in</w:t>
            </w:r>
            <w:r w:rsidRPr="005452D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one of your top ten choice universities </w:t>
            </w:r>
            <w:r w:rsidRPr="005452DC">
              <w:rPr>
                <w:sz w:val="18"/>
                <w:szCs w:val="18"/>
              </w:rPr>
              <w:t>depending on exchang</w:t>
            </w:r>
            <w:r>
              <w:rPr>
                <w:sz w:val="18"/>
                <w:szCs w:val="18"/>
              </w:rPr>
              <w:t>e space and your academic need</w:t>
            </w:r>
          </w:p>
          <w:p w:rsidR="00DB7BEE" w:rsidRDefault="00DB7BEE" w:rsidP="00D66AF0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DB7BEE" w:rsidRDefault="00DB7BEE" w:rsidP="00D66AF0">
            <w:pPr>
              <w:rPr>
                <w:sz w:val="18"/>
                <w:szCs w:val="18"/>
              </w:rPr>
            </w:pPr>
          </w:p>
          <w:p w:rsidR="00DB7BEE" w:rsidRDefault="00DB7BEE" w:rsidP="00D66AF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Placement at </w:t>
            </w:r>
            <w:r w:rsidRPr="0021276D">
              <w:rPr>
                <w:sz w:val="18"/>
                <w:szCs w:val="18"/>
              </w:rPr>
              <w:t xml:space="preserve">the university </w:t>
            </w:r>
            <w:r>
              <w:rPr>
                <w:sz w:val="18"/>
                <w:szCs w:val="18"/>
              </w:rPr>
              <w:t xml:space="preserve">of your choice is guaranteed (unlike with an exchange). </w:t>
            </w:r>
          </w:p>
          <w:p w:rsidR="00DB7BEE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6A274C">
              <w:rPr>
                <w:sz w:val="18"/>
                <w:szCs w:val="18"/>
              </w:rPr>
              <w:t xml:space="preserve">This is </w:t>
            </w:r>
            <w:r>
              <w:rPr>
                <w:sz w:val="18"/>
                <w:szCs w:val="18"/>
              </w:rPr>
              <w:t xml:space="preserve">helpful if applying to a </w:t>
            </w:r>
            <w:r w:rsidRPr="006A274C">
              <w:rPr>
                <w:sz w:val="18"/>
                <w:szCs w:val="18"/>
              </w:rPr>
              <w:t>university</w:t>
            </w:r>
            <w:r>
              <w:rPr>
                <w:sz w:val="18"/>
                <w:szCs w:val="18"/>
              </w:rPr>
              <w:t xml:space="preserve"> </w:t>
            </w:r>
            <w:r w:rsidRPr="006A274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6A274C">
              <w:rPr>
                <w:sz w:val="18"/>
                <w:szCs w:val="18"/>
              </w:rPr>
              <w:t>region that is in high demand</w:t>
            </w:r>
            <w:r>
              <w:rPr>
                <w:sz w:val="18"/>
                <w:szCs w:val="18"/>
              </w:rPr>
              <w:t>.</w:t>
            </w:r>
          </w:p>
          <w:p w:rsidR="00DB7BEE" w:rsidRDefault="00DB7BEE" w:rsidP="00D66AF0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DB7BEE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F254B6">
              <w:rPr>
                <w:sz w:val="18"/>
                <w:szCs w:val="18"/>
              </w:rPr>
              <w:t>Placement is usually guaranteed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9105A4">
              <w:rPr>
                <w:sz w:val="18"/>
                <w:szCs w:val="18"/>
              </w:rPr>
              <w:t>Depending on the university, spaces for international non-degree seeking students</w:t>
            </w:r>
            <w:r>
              <w:rPr>
                <w:sz w:val="18"/>
                <w:szCs w:val="18"/>
              </w:rPr>
              <w:t xml:space="preserve"> may be limited</w:t>
            </w:r>
          </w:p>
        </w:tc>
      </w:tr>
      <w:tr w:rsidR="00DB7BEE" w:rsidRPr="005452DC" w:rsidTr="00D46340">
        <w:trPr>
          <w:trHeight w:val="1583"/>
        </w:trPr>
        <w:tc>
          <w:tcPr>
            <w:tcW w:w="2160" w:type="dxa"/>
          </w:tcPr>
          <w:p w:rsidR="00DB7BEE" w:rsidRDefault="00DB7BEE" w:rsidP="00D66AF0">
            <w:pPr>
              <w:pStyle w:val="NoSpacing"/>
              <w:rPr>
                <w:sz w:val="16"/>
                <w:szCs w:val="16"/>
              </w:rPr>
            </w:pPr>
            <w:bookmarkStart w:id="8" w:name="_Hlk491622401"/>
            <w:bookmarkEnd w:id="7"/>
          </w:p>
          <w:p w:rsidR="00DB7BEE" w:rsidRDefault="003141DC" w:rsidP="00D66AF0">
            <w:pPr>
              <w:pStyle w:val="NoSpacing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234440" cy="987425"/>
                  <wp:effectExtent l="0" t="0" r="381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P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41DC" w:rsidRPr="00EE2B68" w:rsidRDefault="003141DC" w:rsidP="00D66AF0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21276D">
              <w:rPr>
                <w:sz w:val="18"/>
                <w:szCs w:val="18"/>
              </w:rPr>
              <w:t xml:space="preserve">Min. 2.5 GPA </w:t>
            </w:r>
          </w:p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21276D">
              <w:rPr>
                <w:sz w:val="18"/>
                <w:szCs w:val="18"/>
              </w:rPr>
              <w:t>(some programs may require a higher GPA)</w:t>
            </w:r>
          </w:p>
        </w:tc>
        <w:tc>
          <w:tcPr>
            <w:tcW w:w="279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shd w:val="clear" w:color="auto" w:fill="FFFFFF" w:themeFill="background1"/>
              <w:rPr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shd w:val="clear" w:color="auto" w:fill="FFFFFF" w:themeFill="background1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Min. 2.5 GPA </w:t>
            </w:r>
          </w:p>
          <w:p w:rsidR="00DB7BEE" w:rsidRPr="005452DC" w:rsidRDefault="00DB7BEE" w:rsidP="00D66AF0">
            <w:pPr>
              <w:pStyle w:val="NoSpacing"/>
              <w:shd w:val="clear" w:color="auto" w:fill="FFFFFF" w:themeFill="background1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(some programs may require a higher GPA)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Default="00DB7BEE" w:rsidP="00D66AF0">
            <w:pPr>
              <w:rPr>
                <w:sz w:val="18"/>
                <w:szCs w:val="18"/>
              </w:rPr>
            </w:pPr>
          </w:p>
          <w:p w:rsidR="00DB7BEE" w:rsidRDefault="00DB7BEE" w:rsidP="00D66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2.75 GPA</w:t>
            </w:r>
          </w:p>
          <w:p w:rsidR="00DB7BEE" w:rsidRPr="005452DC" w:rsidRDefault="00DB7BEE" w:rsidP="00D66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(some </w:t>
            </w:r>
            <w:r w:rsidRPr="005452DC">
              <w:rPr>
                <w:sz w:val="18"/>
                <w:szCs w:val="18"/>
              </w:rPr>
              <w:t>pro</w:t>
            </w:r>
            <w:r>
              <w:rPr>
                <w:sz w:val="18"/>
                <w:szCs w:val="18"/>
              </w:rPr>
              <w:t>grams may require a higher GPA)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Default="00DB7BEE" w:rsidP="00D66AF0">
            <w:pPr>
              <w:rPr>
                <w:sz w:val="18"/>
                <w:szCs w:val="18"/>
              </w:rPr>
            </w:pPr>
          </w:p>
          <w:p w:rsidR="00DB7BEE" w:rsidRPr="007032C7" w:rsidRDefault="00DB7BEE" w:rsidP="00D66AF0">
            <w:pPr>
              <w:rPr>
                <w:sz w:val="18"/>
                <w:szCs w:val="18"/>
              </w:rPr>
            </w:pPr>
            <w:r w:rsidRPr="007032C7">
              <w:rPr>
                <w:sz w:val="18"/>
                <w:szCs w:val="18"/>
              </w:rPr>
              <w:t>Min. 2.75 GPA</w:t>
            </w:r>
          </w:p>
          <w:p w:rsidR="00DB7BEE" w:rsidRPr="005452DC" w:rsidRDefault="00DB7BEE" w:rsidP="00D66AF0">
            <w:pPr>
              <w:rPr>
                <w:sz w:val="18"/>
                <w:szCs w:val="18"/>
              </w:rPr>
            </w:pPr>
            <w:r w:rsidRPr="007032C7">
              <w:rPr>
                <w:sz w:val="18"/>
                <w:szCs w:val="18"/>
              </w:rPr>
              <w:t>(some programs may require a higher GPA)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Usually require a minimum 2.5 GPA </w:t>
            </w: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(UK programs often require a min. 3.0 GPA)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Usually require a min. 2.5 GPA </w:t>
            </w: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(UK programs often require a min. 3.0 GPA)</w:t>
            </w:r>
          </w:p>
        </w:tc>
      </w:tr>
      <w:tr w:rsidR="00DB7BEE" w:rsidRPr="005452DC" w:rsidTr="00D46340">
        <w:trPr>
          <w:trHeight w:val="1592"/>
        </w:trPr>
        <w:tc>
          <w:tcPr>
            <w:tcW w:w="2160" w:type="dxa"/>
          </w:tcPr>
          <w:p w:rsidR="00DB7BEE" w:rsidRPr="005452DC" w:rsidRDefault="00DB7BEE" w:rsidP="00D66AF0">
            <w:pPr>
              <w:pStyle w:val="NoSpacing"/>
              <w:rPr>
                <w:bCs/>
                <w:sz w:val="16"/>
                <w:szCs w:val="16"/>
              </w:rPr>
            </w:pPr>
            <w:bookmarkStart w:id="9" w:name="_Hlk491622612"/>
            <w:bookmarkEnd w:id="8"/>
          </w:p>
          <w:p w:rsidR="00DB7BEE" w:rsidRDefault="003141DC" w:rsidP="00D66AF0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drawing>
                <wp:inline distT="0" distB="0" distL="0" distR="0">
                  <wp:extent cx="1234440" cy="987425"/>
                  <wp:effectExtent l="0" t="0" r="381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RMs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41DC" w:rsidRPr="003141DC" w:rsidRDefault="003141DC" w:rsidP="00D66AF0">
            <w:pPr>
              <w:pStyle w:val="NoSpacing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DB7BEE" w:rsidRPr="0021276D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Pr="00EB2D7B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Summer</w:t>
            </w:r>
          </w:p>
          <w:p w:rsidR="00DB7BEE" w:rsidRPr="00EB2D7B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proofErr w:type="spellStart"/>
            <w:r w:rsidRPr="005452DC">
              <w:rPr>
                <w:bCs/>
                <w:sz w:val="18"/>
                <w:szCs w:val="18"/>
              </w:rPr>
              <w:t>Wintermester</w:t>
            </w:r>
            <w:proofErr w:type="spellEnd"/>
          </w:p>
          <w:p w:rsidR="00DB7BEE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bCs/>
                <w:sz w:val="18"/>
                <w:szCs w:val="18"/>
              </w:rPr>
            </w:pPr>
            <w:r w:rsidRPr="00EB2D7B">
              <w:rPr>
                <w:bCs/>
                <w:sz w:val="18"/>
                <w:szCs w:val="18"/>
              </w:rPr>
              <w:t>S</w:t>
            </w:r>
            <w:r>
              <w:rPr>
                <w:bCs/>
                <w:sz w:val="18"/>
                <w:szCs w:val="18"/>
              </w:rPr>
              <w:t>hort term spring</w:t>
            </w:r>
          </w:p>
          <w:p w:rsidR="00DB7BEE" w:rsidRPr="00EB2D7B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Short term fall</w:t>
            </w:r>
          </w:p>
          <w:p w:rsidR="00DB7BEE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Pr="00C5541A" w:rsidRDefault="00DB7BEE" w:rsidP="00D66AF0">
            <w:pPr>
              <w:pStyle w:val="NoSpacing"/>
              <w:rPr>
                <w:bCs/>
                <w:sz w:val="16"/>
                <w:szCs w:val="16"/>
              </w:rPr>
            </w:pPr>
            <w:r w:rsidRPr="00C5541A">
              <w:rPr>
                <w:bCs/>
                <w:sz w:val="16"/>
                <w:szCs w:val="16"/>
              </w:rPr>
              <w:t>*</w:t>
            </w:r>
            <w:r w:rsidRPr="00531970">
              <w:rPr>
                <w:bCs/>
                <w:i/>
                <w:sz w:val="16"/>
                <w:szCs w:val="16"/>
              </w:rPr>
              <w:t>Limited semester programs</w:t>
            </w:r>
          </w:p>
          <w:p w:rsidR="00DB7BEE" w:rsidRPr="00AF4805" w:rsidRDefault="00DB7BEE" w:rsidP="00D66AF0">
            <w:pPr>
              <w:pStyle w:val="NoSpacing"/>
              <w:ind w:firstLine="720"/>
              <w:rPr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F2282B" w:rsidRPr="007E60D4" w:rsidRDefault="00F2282B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r w:rsidRPr="007E60D4">
              <w:rPr>
                <w:sz w:val="18"/>
                <w:szCs w:val="18"/>
              </w:rPr>
              <w:t>Summer</w:t>
            </w:r>
          </w:p>
          <w:p w:rsidR="00DB7BEE" w:rsidRPr="00EB2D7B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Semester</w:t>
            </w:r>
          </w:p>
          <w:p w:rsidR="00DB7BEE" w:rsidRPr="005452DC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Academic Year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Pr="00EB2D7B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Semester</w:t>
            </w:r>
          </w:p>
          <w:p w:rsidR="00DB7BEE" w:rsidRPr="005452DC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Academic Year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Pr="00EB2D7B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Semester</w:t>
            </w:r>
          </w:p>
          <w:p w:rsidR="00DB7BEE" w:rsidRPr="005452DC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Academic Year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Pr="00EB2D7B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Summer</w:t>
            </w:r>
          </w:p>
          <w:p w:rsidR="00DB7BEE" w:rsidRPr="00EB2D7B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proofErr w:type="spellStart"/>
            <w:r w:rsidRPr="005452DC">
              <w:rPr>
                <w:bCs/>
                <w:sz w:val="18"/>
                <w:szCs w:val="18"/>
              </w:rPr>
              <w:t>Wintermester</w:t>
            </w:r>
            <w:proofErr w:type="spellEnd"/>
          </w:p>
          <w:p w:rsidR="00DB7BEE" w:rsidRPr="00EB2D7B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Semester</w:t>
            </w:r>
          </w:p>
          <w:p w:rsidR="00DB7BEE" w:rsidRPr="005452DC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Academic Year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Pr="00EB2D7B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Summer</w:t>
            </w:r>
          </w:p>
          <w:p w:rsidR="00DB7BEE" w:rsidRPr="00EB2D7B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proofErr w:type="spellStart"/>
            <w:r w:rsidRPr="005452DC">
              <w:rPr>
                <w:bCs/>
                <w:sz w:val="18"/>
                <w:szCs w:val="18"/>
              </w:rPr>
              <w:t>Wintermester</w:t>
            </w:r>
            <w:proofErr w:type="spellEnd"/>
          </w:p>
          <w:p w:rsidR="00DB7BEE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bCs/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Semester</w:t>
            </w:r>
          </w:p>
          <w:p w:rsidR="00DB7BEE" w:rsidRPr="005452DC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bCs/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Academic Year</w:t>
            </w:r>
          </w:p>
        </w:tc>
      </w:tr>
      <w:bookmarkEnd w:id="9"/>
      <w:tr w:rsidR="00DB7BEE" w:rsidRPr="005452DC" w:rsidTr="00D46340">
        <w:trPr>
          <w:trHeight w:val="1538"/>
        </w:trPr>
        <w:tc>
          <w:tcPr>
            <w:tcW w:w="2160" w:type="dxa"/>
          </w:tcPr>
          <w:p w:rsidR="00DB7BEE" w:rsidRPr="00AF4805" w:rsidRDefault="00DB7BEE" w:rsidP="00D66AF0">
            <w:pPr>
              <w:pStyle w:val="NoSpacing"/>
              <w:rPr>
                <w:bCs/>
                <w:sz w:val="16"/>
                <w:szCs w:val="16"/>
              </w:rPr>
            </w:pPr>
          </w:p>
          <w:p w:rsidR="00DB7BEE" w:rsidRDefault="003141DC" w:rsidP="00D66AF0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drawing>
                <wp:inline distT="0" distB="0" distL="0" distR="0">
                  <wp:extent cx="1234440" cy="987425"/>
                  <wp:effectExtent l="0" t="0" r="3810" b="31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ERSION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41DC" w:rsidRPr="003141DC" w:rsidRDefault="003141DC" w:rsidP="00D66AF0">
            <w:pPr>
              <w:pStyle w:val="NoSpacing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DB7BEE" w:rsidRPr="0021276D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Pr="0021276D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  <w:r w:rsidRPr="0021276D">
              <w:rPr>
                <w:bCs/>
                <w:sz w:val="18"/>
                <w:szCs w:val="18"/>
              </w:rPr>
              <w:t xml:space="preserve">Limited immersion level </w:t>
            </w:r>
            <w:r>
              <w:rPr>
                <w:bCs/>
                <w:sz w:val="18"/>
                <w:szCs w:val="18"/>
              </w:rPr>
              <w:t xml:space="preserve">as you </w:t>
            </w:r>
            <w:r w:rsidRPr="0021276D">
              <w:rPr>
                <w:bCs/>
                <w:sz w:val="18"/>
                <w:szCs w:val="18"/>
              </w:rPr>
              <w:t>tr</w:t>
            </w:r>
            <w:r>
              <w:rPr>
                <w:bCs/>
                <w:sz w:val="18"/>
                <w:szCs w:val="18"/>
              </w:rPr>
              <w:t>avel for a short term with VT students / faculty</w:t>
            </w:r>
          </w:p>
          <w:p w:rsidR="00DB7BEE" w:rsidRPr="0088108E" w:rsidRDefault="00DB7BEE" w:rsidP="00D66AF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</w:rPr>
              <w:t>*</w:t>
            </w:r>
            <w:r w:rsidRPr="0088108E">
              <w:rPr>
                <w:bCs/>
                <w:i/>
                <w:sz w:val="16"/>
                <w:szCs w:val="16"/>
              </w:rPr>
              <w:t>semester programs ex</w:t>
            </w:r>
            <w:r>
              <w:rPr>
                <w:bCs/>
                <w:i/>
                <w:sz w:val="16"/>
                <w:szCs w:val="16"/>
              </w:rPr>
              <w:t>cepted</w:t>
            </w:r>
          </w:p>
        </w:tc>
        <w:tc>
          <w:tcPr>
            <w:tcW w:w="2790" w:type="dxa"/>
            <w:shd w:val="clear" w:color="auto" w:fill="FFFFFF" w:themeFill="background1"/>
          </w:tcPr>
          <w:p w:rsidR="00DB7BEE" w:rsidRPr="005452DC" w:rsidRDefault="00DB7BEE" w:rsidP="00D66AF0">
            <w:pPr>
              <w:rPr>
                <w:bCs/>
                <w:sz w:val="18"/>
                <w:szCs w:val="18"/>
              </w:rPr>
            </w:pPr>
          </w:p>
          <w:p w:rsidR="00DB7BEE" w:rsidRPr="005452DC" w:rsidRDefault="00DB7BEE" w:rsidP="00D66AF0">
            <w:pPr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High immersion level (live and study with local / international students)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High immersion level (live and study with local / international students)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High immersion level (live and study with local / international students)</w:t>
            </w:r>
          </w:p>
        </w:tc>
        <w:tc>
          <w:tcPr>
            <w:tcW w:w="288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Immersion level varies by program</w:t>
            </w:r>
            <w:r>
              <w:rPr>
                <w:bCs/>
                <w:sz w:val="18"/>
                <w:szCs w:val="18"/>
              </w:rPr>
              <w:t xml:space="preserve"> (often you go with students from other U.S. universities)</w:t>
            </w: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ind w:left="-18" w:firstLine="18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High immersion level (live and study with local /  international students)</w:t>
            </w:r>
          </w:p>
        </w:tc>
      </w:tr>
      <w:tr w:rsidR="00DB7BEE" w:rsidRPr="009D302F" w:rsidTr="00D46340">
        <w:trPr>
          <w:trHeight w:val="980"/>
        </w:trPr>
        <w:tc>
          <w:tcPr>
            <w:tcW w:w="2160" w:type="dxa"/>
          </w:tcPr>
          <w:p w:rsidR="00DB7BEE" w:rsidRPr="00FD4A0B" w:rsidRDefault="00DB7BEE" w:rsidP="00D66AF0">
            <w:pPr>
              <w:pStyle w:val="NoSpacing"/>
              <w:jc w:val="both"/>
              <w:rPr>
                <w:sz w:val="16"/>
                <w:szCs w:val="16"/>
              </w:rPr>
            </w:pPr>
            <w:bookmarkStart w:id="10" w:name="_Hlk491623226"/>
          </w:p>
          <w:p w:rsidR="00DB7BEE" w:rsidRPr="005452DC" w:rsidRDefault="00267219" w:rsidP="00D66AF0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234440" cy="984885"/>
                  <wp:effectExtent l="0" t="0" r="3810" b="571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pplication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6340" w:rsidRPr="00D46340" w:rsidRDefault="00D46340" w:rsidP="00D66AF0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 xml:space="preserve">Application through GEO </w:t>
            </w:r>
            <w:r w:rsidR="00DF32B9">
              <w:rPr>
                <w:sz w:val="18"/>
                <w:szCs w:val="18"/>
              </w:rPr>
              <w:t>My S</w:t>
            </w:r>
            <w:r w:rsidRPr="009D302F">
              <w:rPr>
                <w:sz w:val="18"/>
                <w:szCs w:val="18"/>
              </w:rPr>
              <w:t xml:space="preserve">tudy </w:t>
            </w:r>
            <w:r w:rsidR="00DF32B9">
              <w:rPr>
                <w:sz w:val="18"/>
                <w:szCs w:val="18"/>
              </w:rPr>
              <w:t>A</w:t>
            </w:r>
            <w:r w:rsidRPr="009D302F">
              <w:rPr>
                <w:sz w:val="18"/>
                <w:szCs w:val="18"/>
              </w:rPr>
              <w:t>broad account</w:t>
            </w:r>
          </w:p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 xml:space="preserve">Application through GEO </w:t>
            </w:r>
            <w:r w:rsidR="00107A82">
              <w:rPr>
                <w:sz w:val="18"/>
                <w:szCs w:val="18"/>
              </w:rPr>
              <w:t>My Study A</w:t>
            </w:r>
            <w:r w:rsidRPr="009D302F">
              <w:rPr>
                <w:sz w:val="18"/>
                <w:szCs w:val="18"/>
              </w:rPr>
              <w:t>broad account</w:t>
            </w:r>
          </w:p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1C0617" w:rsidRDefault="00DB7BEE" w:rsidP="00D66AF0">
            <w:pPr>
              <w:pStyle w:val="NoSpacing"/>
              <w:rPr>
                <w:sz w:val="16"/>
                <w:szCs w:val="16"/>
              </w:rPr>
            </w:pPr>
            <w:r w:rsidRPr="001C0617">
              <w:rPr>
                <w:sz w:val="16"/>
                <w:szCs w:val="16"/>
              </w:rPr>
              <w:t xml:space="preserve">After that, your on-campus Exchange Coordinator will advise you through the nomination process: </w:t>
            </w:r>
          </w:p>
          <w:p w:rsidR="00DB7BEE" w:rsidRPr="001C0617" w:rsidRDefault="00DB7BEE" w:rsidP="00D66AF0">
            <w:pPr>
              <w:pStyle w:val="NoSpacing"/>
              <w:rPr>
                <w:rStyle w:val="Hyperlink"/>
                <w:color w:val="auto"/>
                <w:sz w:val="16"/>
                <w:szCs w:val="16"/>
              </w:rPr>
            </w:pPr>
            <w:r w:rsidRPr="001C0617">
              <w:rPr>
                <w:sz w:val="16"/>
                <w:szCs w:val="16"/>
              </w:rPr>
              <w:t>Chelsey Watts (</w:t>
            </w:r>
            <w:hyperlink r:id="rId17" w:history="1">
              <w:r w:rsidRPr="001C0617">
                <w:rPr>
                  <w:rStyle w:val="Hyperlink"/>
                  <w:color w:val="auto"/>
                  <w:sz w:val="16"/>
                  <w:szCs w:val="16"/>
                </w:rPr>
                <w:t>cbwatts@vt.edu</w:t>
              </w:r>
            </w:hyperlink>
            <w:r w:rsidRPr="001C0617">
              <w:rPr>
                <w:rStyle w:val="Hyperlink"/>
                <w:color w:val="auto"/>
                <w:sz w:val="16"/>
                <w:szCs w:val="16"/>
              </w:rPr>
              <w:t>)</w:t>
            </w:r>
          </w:p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DB7BEE" w:rsidRPr="006A0856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6A0856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6A0856">
              <w:rPr>
                <w:sz w:val="18"/>
                <w:szCs w:val="18"/>
              </w:rPr>
              <w:t>Application through ISEP</w:t>
            </w:r>
          </w:p>
          <w:p w:rsidR="00DB7BEE" w:rsidRPr="006A0856" w:rsidRDefault="008B4441" w:rsidP="00D66AF0">
            <w:pPr>
              <w:pStyle w:val="NoSpacing"/>
              <w:rPr>
                <w:rStyle w:val="Hyperlink"/>
                <w:color w:val="auto"/>
                <w:sz w:val="18"/>
                <w:szCs w:val="18"/>
              </w:rPr>
            </w:pPr>
            <w:hyperlink r:id="rId18" w:history="1">
              <w:r w:rsidR="00DB7BEE" w:rsidRPr="006A0856">
                <w:rPr>
                  <w:rStyle w:val="Hyperlink"/>
                  <w:color w:val="auto"/>
                  <w:sz w:val="18"/>
                  <w:szCs w:val="18"/>
                </w:rPr>
                <w:t>www.isep.org</w:t>
              </w:r>
            </w:hyperlink>
          </w:p>
          <w:p w:rsidR="00DB7BEE" w:rsidRPr="006A0856" w:rsidRDefault="00DB7BEE" w:rsidP="00D66AF0">
            <w:pPr>
              <w:pStyle w:val="NoSpacing"/>
              <w:rPr>
                <w:rStyle w:val="Hyperlink"/>
                <w:color w:val="auto"/>
                <w:sz w:val="18"/>
                <w:szCs w:val="18"/>
              </w:rPr>
            </w:pPr>
          </w:p>
          <w:p w:rsidR="00DB7BEE" w:rsidRPr="001C0617" w:rsidRDefault="00DB7BEE" w:rsidP="00D66AF0">
            <w:pPr>
              <w:pStyle w:val="NoSpacing"/>
              <w:rPr>
                <w:sz w:val="16"/>
                <w:szCs w:val="16"/>
              </w:rPr>
            </w:pPr>
            <w:r w:rsidRPr="001C0617">
              <w:rPr>
                <w:sz w:val="16"/>
                <w:szCs w:val="16"/>
              </w:rPr>
              <w:t xml:space="preserve">After that, your on-campus ISEP Coordinator will advise you through the placement process: </w:t>
            </w:r>
          </w:p>
          <w:p w:rsidR="00DB7BEE" w:rsidRPr="001C0617" w:rsidRDefault="00DB7BEE" w:rsidP="00D66AF0">
            <w:pPr>
              <w:pStyle w:val="NoSpacing"/>
              <w:rPr>
                <w:sz w:val="16"/>
                <w:szCs w:val="16"/>
              </w:rPr>
            </w:pPr>
            <w:r w:rsidRPr="001C0617">
              <w:rPr>
                <w:sz w:val="16"/>
                <w:szCs w:val="16"/>
              </w:rPr>
              <w:t>Chelsey Watts (</w:t>
            </w:r>
            <w:hyperlink r:id="rId19" w:history="1">
              <w:r w:rsidRPr="001C0617">
                <w:rPr>
                  <w:rStyle w:val="Hyperlink"/>
                  <w:color w:val="auto"/>
                  <w:sz w:val="16"/>
                  <w:szCs w:val="16"/>
                </w:rPr>
                <w:t>cbwatts@vt.edu</w:t>
              </w:r>
            </w:hyperlink>
            <w:r w:rsidRPr="001C0617">
              <w:rPr>
                <w:rStyle w:val="Hyperlink"/>
                <w:color w:val="auto"/>
                <w:sz w:val="16"/>
                <w:szCs w:val="16"/>
              </w:rPr>
              <w:t>)</w:t>
            </w:r>
            <w:r w:rsidRPr="001C0617">
              <w:rPr>
                <w:sz w:val="16"/>
                <w:szCs w:val="16"/>
              </w:rPr>
              <w:t xml:space="preserve"> </w:t>
            </w:r>
          </w:p>
          <w:p w:rsidR="00DB7BEE" w:rsidRPr="006A0856" w:rsidRDefault="00DB7BEE" w:rsidP="00D66AF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DB7BEE" w:rsidRPr="006A0856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6A0856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6A0856">
              <w:rPr>
                <w:sz w:val="18"/>
                <w:szCs w:val="18"/>
              </w:rPr>
              <w:t>Application through ISEP</w:t>
            </w:r>
          </w:p>
          <w:p w:rsidR="00DB7BEE" w:rsidRPr="006A0856" w:rsidRDefault="008B4441" w:rsidP="00D66AF0">
            <w:pPr>
              <w:pStyle w:val="NoSpacing"/>
              <w:rPr>
                <w:rStyle w:val="Hyperlink"/>
                <w:color w:val="auto"/>
                <w:sz w:val="18"/>
                <w:szCs w:val="18"/>
              </w:rPr>
            </w:pPr>
            <w:hyperlink r:id="rId20" w:history="1">
              <w:r w:rsidR="00DB7BEE" w:rsidRPr="006A0856">
                <w:rPr>
                  <w:rStyle w:val="Hyperlink"/>
                  <w:color w:val="auto"/>
                  <w:sz w:val="18"/>
                  <w:szCs w:val="18"/>
                </w:rPr>
                <w:t>www.isep.org</w:t>
              </w:r>
            </w:hyperlink>
          </w:p>
          <w:p w:rsidR="00DB7BEE" w:rsidRPr="006A0856" w:rsidRDefault="00DB7BEE" w:rsidP="00D66AF0">
            <w:pPr>
              <w:pStyle w:val="NoSpacing"/>
              <w:rPr>
                <w:rStyle w:val="Hyperlink"/>
                <w:color w:val="auto"/>
                <w:sz w:val="18"/>
                <w:szCs w:val="18"/>
              </w:rPr>
            </w:pPr>
          </w:p>
          <w:p w:rsidR="00DB7BEE" w:rsidRPr="001C0617" w:rsidRDefault="00DB7BEE" w:rsidP="00D66AF0">
            <w:pPr>
              <w:pStyle w:val="NoSpacing"/>
              <w:rPr>
                <w:sz w:val="16"/>
                <w:szCs w:val="16"/>
              </w:rPr>
            </w:pPr>
            <w:r w:rsidRPr="001C0617">
              <w:rPr>
                <w:sz w:val="16"/>
                <w:szCs w:val="16"/>
              </w:rPr>
              <w:t xml:space="preserve">After that, your on-campus ISEP Coordinator will advise you through the placement process: </w:t>
            </w:r>
          </w:p>
          <w:p w:rsidR="00DB7BEE" w:rsidRPr="001C0617" w:rsidRDefault="00DB7BEE" w:rsidP="00D66AF0">
            <w:pPr>
              <w:pStyle w:val="NoSpacing"/>
              <w:ind w:right="-105"/>
              <w:rPr>
                <w:sz w:val="16"/>
                <w:szCs w:val="16"/>
              </w:rPr>
            </w:pPr>
            <w:r w:rsidRPr="001C0617">
              <w:rPr>
                <w:sz w:val="16"/>
                <w:szCs w:val="16"/>
              </w:rPr>
              <w:t>Chelsey Watts (</w:t>
            </w:r>
            <w:hyperlink r:id="rId21" w:history="1">
              <w:r w:rsidRPr="001C0617">
                <w:rPr>
                  <w:rStyle w:val="Hyperlink"/>
                  <w:color w:val="auto"/>
                  <w:sz w:val="16"/>
                  <w:szCs w:val="16"/>
                </w:rPr>
                <w:t>cbwatts@vt.edu</w:t>
              </w:r>
            </w:hyperlink>
            <w:r w:rsidRPr="001C0617">
              <w:rPr>
                <w:sz w:val="16"/>
                <w:szCs w:val="16"/>
              </w:rPr>
              <w:t>)</w:t>
            </w:r>
          </w:p>
          <w:p w:rsidR="00DB7BEE" w:rsidRPr="006A0856" w:rsidRDefault="00DB7BEE" w:rsidP="00D66AF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>Application through Third Party website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610" w:type="dxa"/>
          </w:tcPr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>Application through host university website</w:t>
            </w:r>
          </w:p>
        </w:tc>
      </w:tr>
      <w:bookmarkEnd w:id="10"/>
      <w:tr w:rsidR="00DB7BEE" w:rsidRPr="009D302F" w:rsidTr="00D46340">
        <w:trPr>
          <w:cantSplit/>
          <w:trHeight w:val="1727"/>
        </w:trPr>
        <w:tc>
          <w:tcPr>
            <w:tcW w:w="2160" w:type="dxa"/>
            <w:textDirection w:val="btLr"/>
            <w:vAlign w:val="center"/>
          </w:tcPr>
          <w:p w:rsidR="00DB7BEE" w:rsidRDefault="00267219" w:rsidP="00D66AF0">
            <w:pPr>
              <w:pStyle w:val="NoSpacing"/>
              <w:ind w:left="113" w:right="113"/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noProof/>
                <w:color w:val="00B050"/>
                <w:sz w:val="18"/>
                <w:szCs w:val="18"/>
              </w:rPr>
              <w:drawing>
                <wp:inline distT="0" distB="0" distL="0" distR="0">
                  <wp:extent cx="1234440" cy="978535"/>
                  <wp:effectExtent l="0" t="0" r="381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EGISTRATION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7BEE" w:rsidRDefault="00DB7BEE" w:rsidP="00D66AF0">
            <w:pPr>
              <w:pStyle w:val="NoSpacing"/>
              <w:ind w:left="113" w:right="113"/>
              <w:jc w:val="center"/>
              <w:rPr>
                <w:b/>
                <w:color w:val="00B050"/>
                <w:sz w:val="18"/>
                <w:szCs w:val="18"/>
              </w:rPr>
            </w:pPr>
          </w:p>
          <w:p w:rsidR="00DB7BEE" w:rsidRPr="00DA11A8" w:rsidRDefault="00DB7BEE" w:rsidP="003141DC">
            <w:pPr>
              <w:pStyle w:val="NoSpacing"/>
              <w:spacing w:line="600" w:lineRule="auto"/>
              <w:ind w:left="833" w:right="113"/>
              <w:rPr>
                <w:b/>
                <w:color w:val="00B050"/>
                <w:sz w:val="28"/>
                <w:szCs w:val="28"/>
              </w:rPr>
            </w:pPr>
          </w:p>
          <w:p w:rsidR="00DB7BEE" w:rsidRDefault="00DB7BEE" w:rsidP="00D66AF0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</w:p>
          <w:p w:rsidR="00DB7BEE" w:rsidRDefault="00DB7BEE" w:rsidP="00D66AF0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  <w:p w:rsidR="00DB7BEE" w:rsidRPr="00761D87" w:rsidRDefault="00DB7BEE" w:rsidP="00D66AF0">
            <w:pPr>
              <w:jc w:val="center"/>
              <w:rPr>
                <w:sz w:val="18"/>
                <w:szCs w:val="18"/>
              </w:rPr>
            </w:pPr>
            <w:r w:rsidRPr="00761D87">
              <w:rPr>
                <w:sz w:val="18"/>
                <w:szCs w:val="18"/>
              </w:rPr>
              <w:t>NOT REQUIRED</w:t>
            </w: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  <w:p w:rsidR="00DB7BEE" w:rsidRPr="00DA11A8" w:rsidRDefault="00DB7BEE" w:rsidP="00D66AF0">
            <w:pPr>
              <w:jc w:val="center"/>
              <w:rPr>
                <w:sz w:val="16"/>
                <w:szCs w:val="16"/>
              </w:rPr>
            </w:pPr>
            <w:r>
              <w:t>*</w:t>
            </w:r>
            <w:r w:rsidRPr="00DA11A8">
              <w:rPr>
                <w:sz w:val="16"/>
                <w:szCs w:val="16"/>
              </w:rPr>
              <w:t xml:space="preserve">Applying through your </w:t>
            </w:r>
            <w:r w:rsidR="00107A82">
              <w:rPr>
                <w:sz w:val="16"/>
                <w:szCs w:val="16"/>
              </w:rPr>
              <w:t xml:space="preserve">My </w:t>
            </w:r>
            <w:r w:rsidRPr="00DA11A8">
              <w:rPr>
                <w:sz w:val="16"/>
                <w:szCs w:val="16"/>
              </w:rPr>
              <w:t>Study Abroad account automaticall</w:t>
            </w:r>
            <w:r>
              <w:rPr>
                <w:sz w:val="16"/>
                <w:szCs w:val="16"/>
              </w:rPr>
              <w:t>y registers your trip with GEO</w:t>
            </w: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REQUIRED</w:t>
            </w: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  <w:p w:rsidR="00DB7BEE" w:rsidRPr="00DA11A8" w:rsidRDefault="00DB7BEE" w:rsidP="00D66AF0">
            <w:pPr>
              <w:jc w:val="center"/>
              <w:rPr>
                <w:sz w:val="16"/>
                <w:szCs w:val="16"/>
              </w:rPr>
            </w:pPr>
            <w:r>
              <w:t>*</w:t>
            </w:r>
            <w:r w:rsidRPr="00DA11A8">
              <w:rPr>
                <w:sz w:val="16"/>
                <w:szCs w:val="16"/>
              </w:rPr>
              <w:t xml:space="preserve">Applying through your </w:t>
            </w:r>
            <w:r w:rsidR="00107A82">
              <w:rPr>
                <w:sz w:val="16"/>
                <w:szCs w:val="16"/>
              </w:rPr>
              <w:t xml:space="preserve">My </w:t>
            </w:r>
            <w:r w:rsidRPr="00DA11A8">
              <w:rPr>
                <w:sz w:val="16"/>
                <w:szCs w:val="16"/>
              </w:rPr>
              <w:t>Study Abroad account automaticall</w:t>
            </w:r>
            <w:r>
              <w:rPr>
                <w:sz w:val="16"/>
                <w:szCs w:val="16"/>
              </w:rPr>
              <w:t>y registers your trip with GEO</w:t>
            </w: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REQUIRED</w:t>
            </w: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  <w:p w:rsidR="00DB7BEE" w:rsidRPr="001C0617" w:rsidRDefault="00DB7BEE" w:rsidP="00D66AF0">
            <w:pPr>
              <w:jc w:val="center"/>
              <w:rPr>
                <w:sz w:val="16"/>
                <w:szCs w:val="16"/>
              </w:rPr>
            </w:pPr>
            <w:r w:rsidRPr="001C0617">
              <w:rPr>
                <w:sz w:val="16"/>
                <w:szCs w:val="16"/>
              </w:rPr>
              <w:t>After you’ve applied you will be contacted by your on-campus ISEP Coordinator with registration instructions:</w:t>
            </w:r>
          </w:p>
          <w:p w:rsidR="00DB7BEE" w:rsidRPr="006A0856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1C0617">
              <w:rPr>
                <w:sz w:val="16"/>
                <w:szCs w:val="16"/>
              </w:rPr>
              <w:t>Chelsey Watts (</w:t>
            </w:r>
            <w:hyperlink r:id="rId23" w:history="1">
              <w:r w:rsidRPr="001C0617">
                <w:rPr>
                  <w:rStyle w:val="Hyperlink"/>
                  <w:color w:val="auto"/>
                  <w:sz w:val="16"/>
                  <w:szCs w:val="16"/>
                </w:rPr>
                <w:t>cbwatts@vt.edu</w:t>
              </w:r>
            </w:hyperlink>
            <w:r w:rsidRPr="001C0617">
              <w:rPr>
                <w:rStyle w:val="Hyperlink"/>
                <w:color w:val="auto"/>
                <w:sz w:val="16"/>
                <w:szCs w:val="16"/>
              </w:rPr>
              <w:t>)</w:t>
            </w:r>
            <w:r w:rsidRPr="001C0617">
              <w:rPr>
                <w:sz w:val="16"/>
                <w:szCs w:val="16"/>
              </w:rPr>
              <w:t xml:space="preserve"> </w:t>
            </w: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REQUIRED</w:t>
            </w: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  <w:p w:rsidR="00DB7BEE" w:rsidRPr="001C0617" w:rsidRDefault="00DB7BEE" w:rsidP="00D66AF0">
            <w:pPr>
              <w:jc w:val="center"/>
              <w:rPr>
                <w:sz w:val="16"/>
                <w:szCs w:val="16"/>
              </w:rPr>
            </w:pPr>
            <w:r w:rsidRPr="001C0617">
              <w:rPr>
                <w:sz w:val="16"/>
                <w:szCs w:val="16"/>
              </w:rPr>
              <w:t>After you’ve applied you will be contacted by your on-campus ISEP Coordinator with registration instructions:</w:t>
            </w:r>
          </w:p>
          <w:p w:rsidR="00DB7BEE" w:rsidRPr="001C0617" w:rsidRDefault="00DB7BEE" w:rsidP="00D66AF0">
            <w:pPr>
              <w:pStyle w:val="NoSpacing"/>
              <w:rPr>
                <w:sz w:val="16"/>
                <w:szCs w:val="16"/>
              </w:rPr>
            </w:pPr>
            <w:r w:rsidRPr="001C0617">
              <w:rPr>
                <w:sz w:val="16"/>
                <w:szCs w:val="16"/>
              </w:rPr>
              <w:t>Chelsey Watts (</w:t>
            </w:r>
            <w:hyperlink r:id="rId24" w:history="1">
              <w:r w:rsidRPr="001C0617">
                <w:rPr>
                  <w:rStyle w:val="Hyperlink"/>
                  <w:color w:val="auto"/>
                  <w:sz w:val="16"/>
                  <w:szCs w:val="16"/>
                </w:rPr>
                <w:t>cbwatts@vt.edu</w:t>
              </w:r>
            </w:hyperlink>
            <w:r w:rsidRPr="001C0617">
              <w:rPr>
                <w:rStyle w:val="Hyperlink"/>
                <w:color w:val="auto"/>
                <w:sz w:val="16"/>
                <w:szCs w:val="16"/>
              </w:rPr>
              <w:t>)</w:t>
            </w:r>
            <w:r w:rsidRPr="001C0617">
              <w:rPr>
                <w:sz w:val="16"/>
                <w:szCs w:val="16"/>
              </w:rPr>
              <w:t xml:space="preserve"> </w:t>
            </w: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REQUIRED</w:t>
            </w: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  <w:p w:rsidR="00DB7BEE" w:rsidRPr="00D3744F" w:rsidRDefault="00DB7BEE" w:rsidP="00D66AF0">
            <w:pPr>
              <w:jc w:val="center"/>
              <w:rPr>
                <w:sz w:val="18"/>
                <w:szCs w:val="18"/>
              </w:rPr>
            </w:pPr>
            <w:r w:rsidRPr="00D3744F">
              <w:rPr>
                <w:sz w:val="18"/>
                <w:szCs w:val="18"/>
              </w:rPr>
              <w:t xml:space="preserve">Register </w:t>
            </w:r>
            <w:r>
              <w:rPr>
                <w:sz w:val="18"/>
                <w:szCs w:val="18"/>
              </w:rPr>
              <w:t xml:space="preserve">right </w:t>
            </w:r>
            <w:r w:rsidRPr="00D3744F">
              <w:rPr>
                <w:sz w:val="18"/>
                <w:szCs w:val="18"/>
              </w:rPr>
              <w:t>after you’ve applied to your study abroad program</w:t>
            </w:r>
          </w:p>
          <w:p w:rsidR="00DB7BEE" w:rsidRDefault="00DB7BEE" w:rsidP="00D66AF0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:rsidR="00DB7BEE" w:rsidRPr="00D72430" w:rsidRDefault="00DB7BEE" w:rsidP="00267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DB7BEE" w:rsidRPr="00D72430" w:rsidRDefault="00DB7BEE" w:rsidP="00D66AF0">
            <w:pPr>
              <w:ind w:right="-23"/>
              <w:jc w:val="center"/>
              <w:rPr>
                <w:sz w:val="18"/>
                <w:szCs w:val="18"/>
              </w:rPr>
            </w:pP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REQUIRED</w:t>
            </w: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  <w:p w:rsidR="00DB7BEE" w:rsidRPr="00D3744F" w:rsidRDefault="00DB7BEE" w:rsidP="00D66AF0">
            <w:pPr>
              <w:ind w:right="-110" w:hanging="20"/>
              <w:jc w:val="center"/>
              <w:rPr>
                <w:sz w:val="18"/>
                <w:szCs w:val="18"/>
              </w:rPr>
            </w:pPr>
            <w:r w:rsidRPr="00D3744F">
              <w:rPr>
                <w:sz w:val="18"/>
                <w:szCs w:val="18"/>
              </w:rPr>
              <w:t xml:space="preserve">Register </w:t>
            </w:r>
            <w:r>
              <w:rPr>
                <w:sz w:val="18"/>
                <w:szCs w:val="18"/>
              </w:rPr>
              <w:t xml:space="preserve">right </w:t>
            </w:r>
            <w:r w:rsidRPr="00D3744F">
              <w:rPr>
                <w:sz w:val="18"/>
                <w:szCs w:val="18"/>
              </w:rPr>
              <w:t>after you’ve applied to your study abroad program</w:t>
            </w:r>
          </w:p>
          <w:p w:rsidR="00DB7BEE" w:rsidRDefault="00DB7BEE" w:rsidP="00D66AF0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:rsidR="00DB7BEE" w:rsidRPr="00D72430" w:rsidRDefault="00DB7BEE" w:rsidP="00267219">
            <w:pPr>
              <w:jc w:val="center"/>
              <w:rPr>
                <w:sz w:val="18"/>
                <w:szCs w:val="18"/>
              </w:rPr>
            </w:pPr>
          </w:p>
        </w:tc>
      </w:tr>
      <w:tr w:rsidR="00DB7BEE" w:rsidRPr="009D302F" w:rsidTr="00D46340">
        <w:trPr>
          <w:trHeight w:val="980"/>
        </w:trPr>
        <w:tc>
          <w:tcPr>
            <w:tcW w:w="2160" w:type="dxa"/>
          </w:tcPr>
          <w:p w:rsidR="00DB7BEE" w:rsidRPr="00D46340" w:rsidRDefault="00DB7BEE" w:rsidP="00D66AF0">
            <w:pPr>
              <w:pStyle w:val="NoSpacing"/>
              <w:jc w:val="both"/>
              <w:rPr>
                <w:noProof/>
                <w:sz w:val="16"/>
                <w:szCs w:val="16"/>
              </w:rPr>
            </w:pPr>
          </w:p>
          <w:p w:rsidR="00DB7BEE" w:rsidRPr="005452DC" w:rsidRDefault="00267219" w:rsidP="00D66AF0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234440" cy="982980"/>
                  <wp:effectExtent l="0" t="0" r="381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deadlines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auto"/>
          </w:tcPr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 xml:space="preserve">Application deadlines vary and are unique to the program </w:t>
            </w:r>
            <w:r>
              <w:rPr>
                <w:sz w:val="18"/>
                <w:szCs w:val="18"/>
              </w:rPr>
              <w:t>you selected</w:t>
            </w:r>
          </w:p>
        </w:tc>
        <w:tc>
          <w:tcPr>
            <w:tcW w:w="2790" w:type="dxa"/>
          </w:tcPr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 xml:space="preserve">For fall: </w:t>
            </w:r>
            <w:r>
              <w:rPr>
                <w:sz w:val="18"/>
                <w:szCs w:val="18"/>
              </w:rPr>
              <w:t>February</w:t>
            </w:r>
            <w:r w:rsidRPr="009D302F">
              <w:rPr>
                <w:sz w:val="18"/>
                <w:szCs w:val="18"/>
              </w:rPr>
              <w:t xml:space="preserve"> 15</w:t>
            </w:r>
          </w:p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 xml:space="preserve">For spring: </w:t>
            </w:r>
            <w:r>
              <w:rPr>
                <w:sz w:val="18"/>
                <w:szCs w:val="18"/>
              </w:rPr>
              <w:t>September</w:t>
            </w:r>
            <w:r w:rsidRPr="009D302F">
              <w:rPr>
                <w:sz w:val="18"/>
                <w:szCs w:val="18"/>
              </w:rPr>
              <w:t xml:space="preserve"> 15</w:t>
            </w:r>
          </w:p>
        </w:tc>
        <w:tc>
          <w:tcPr>
            <w:tcW w:w="2610" w:type="dxa"/>
          </w:tcPr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 xml:space="preserve">For fall: </w:t>
            </w:r>
            <w:r>
              <w:rPr>
                <w:sz w:val="18"/>
                <w:szCs w:val="18"/>
              </w:rPr>
              <w:t>January</w:t>
            </w:r>
            <w:r w:rsidRPr="009D302F">
              <w:rPr>
                <w:sz w:val="18"/>
                <w:szCs w:val="18"/>
              </w:rPr>
              <w:t xml:space="preserve"> 25</w:t>
            </w:r>
          </w:p>
          <w:p w:rsidR="00DB7BEE" w:rsidRDefault="00DB7BEE" w:rsidP="00D66AF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spring: August </w:t>
            </w:r>
            <w:r w:rsidRPr="009D302F">
              <w:rPr>
                <w:sz w:val="18"/>
                <w:szCs w:val="18"/>
              </w:rPr>
              <w:t>25</w:t>
            </w:r>
          </w:p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3E1824" w:rsidRDefault="00DB7BEE" w:rsidP="00D66AF0">
            <w:pPr>
              <w:pStyle w:val="NoSpacing"/>
              <w:rPr>
                <w:sz w:val="16"/>
                <w:szCs w:val="16"/>
              </w:rPr>
            </w:pPr>
            <w:r>
              <w:t>*</w:t>
            </w:r>
            <w:r w:rsidRPr="003E1824">
              <w:rPr>
                <w:sz w:val="16"/>
                <w:szCs w:val="16"/>
              </w:rPr>
              <w:t xml:space="preserve">Your application is due by the dates above, </w:t>
            </w:r>
            <w:r w:rsidRPr="003030D8">
              <w:rPr>
                <w:sz w:val="16"/>
                <w:szCs w:val="16"/>
                <w:u w:val="single"/>
              </w:rPr>
              <w:t>not</w:t>
            </w:r>
            <w:r w:rsidRPr="003E1824">
              <w:rPr>
                <w:sz w:val="16"/>
                <w:szCs w:val="16"/>
              </w:rPr>
              <w:t xml:space="preserve"> the dates on the ISEP website</w:t>
            </w:r>
            <w:r>
              <w:rPr>
                <w:sz w:val="16"/>
                <w:szCs w:val="16"/>
              </w:rPr>
              <w:t xml:space="preserve">, as we need to </w:t>
            </w:r>
            <w:r w:rsidRPr="003E1824">
              <w:rPr>
                <w:sz w:val="16"/>
                <w:szCs w:val="16"/>
              </w:rPr>
              <w:t>process and approve your application prior to the ISEP deadline</w:t>
            </w:r>
          </w:p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DB7BEE" w:rsidRPr="009D302F" w:rsidRDefault="00DB7BEE" w:rsidP="00D66AF0">
            <w:pPr>
              <w:rPr>
                <w:sz w:val="18"/>
                <w:szCs w:val="18"/>
              </w:rPr>
            </w:pPr>
          </w:p>
          <w:p w:rsidR="00DB7BEE" w:rsidRPr="009D302F" w:rsidRDefault="00DB7BEE" w:rsidP="00D66AF0">
            <w:pPr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 xml:space="preserve">For fall: </w:t>
            </w:r>
            <w:r>
              <w:rPr>
                <w:sz w:val="18"/>
                <w:szCs w:val="18"/>
              </w:rPr>
              <w:t>January</w:t>
            </w:r>
            <w:r w:rsidRPr="009D302F">
              <w:rPr>
                <w:sz w:val="18"/>
                <w:szCs w:val="18"/>
              </w:rPr>
              <w:t xml:space="preserve"> 25</w:t>
            </w:r>
          </w:p>
          <w:p w:rsidR="00DB7BEE" w:rsidRDefault="00DB7BEE" w:rsidP="00D66AF0">
            <w:pPr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 xml:space="preserve">For spring: </w:t>
            </w:r>
            <w:r>
              <w:rPr>
                <w:sz w:val="18"/>
                <w:szCs w:val="18"/>
              </w:rPr>
              <w:t>August</w:t>
            </w:r>
            <w:r w:rsidRPr="009D302F">
              <w:rPr>
                <w:sz w:val="18"/>
                <w:szCs w:val="18"/>
              </w:rPr>
              <w:t xml:space="preserve"> 25</w:t>
            </w:r>
          </w:p>
          <w:p w:rsidR="00DB7BEE" w:rsidRDefault="00DB7BEE" w:rsidP="00D66AF0">
            <w:pPr>
              <w:rPr>
                <w:sz w:val="18"/>
                <w:szCs w:val="18"/>
              </w:rPr>
            </w:pPr>
          </w:p>
          <w:p w:rsidR="00DB7BEE" w:rsidRPr="00971126" w:rsidRDefault="00DB7BEE" w:rsidP="00D66AF0">
            <w:pPr>
              <w:ind w:right="-15"/>
              <w:rPr>
                <w:sz w:val="16"/>
                <w:szCs w:val="16"/>
              </w:rPr>
            </w:pPr>
            <w:r>
              <w:t>*</w:t>
            </w:r>
            <w:r w:rsidRPr="00971126">
              <w:rPr>
                <w:sz w:val="16"/>
                <w:szCs w:val="16"/>
              </w:rPr>
              <w:t xml:space="preserve">Your application is due by the dates above, </w:t>
            </w:r>
            <w:r w:rsidRPr="003030D8">
              <w:rPr>
                <w:sz w:val="16"/>
                <w:szCs w:val="16"/>
                <w:u w:val="single"/>
              </w:rPr>
              <w:t>not</w:t>
            </w:r>
            <w:r w:rsidRPr="00971126">
              <w:rPr>
                <w:sz w:val="16"/>
                <w:szCs w:val="16"/>
              </w:rPr>
              <w:t xml:space="preserve"> the dates on the ISEP website</w:t>
            </w:r>
            <w:r>
              <w:rPr>
                <w:sz w:val="16"/>
                <w:szCs w:val="16"/>
              </w:rPr>
              <w:t xml:space="preserve">, as we need to </w:t>
            </w:r>
            <w:r w:rsidRPr="00971126">
              <w:rPr>
                <w:sz w:val="16"/>
                <w:szCs w:val="16"/>
              </w:rPr>
              <w:t>process and approve your application prior to the ISEP deadline</w:t>
            </w:r>
          </w:p>
          <w:p w:rsidR="00DB7BEE" w:rsidRPr="009D302F" w:rsidRDefault="00DB7BEE" w:rsidP="00D66AF0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DB7BEE" w:rsidRPr="009D302F" w:rsidRDefault="00DB7BEE" w:rsidP="00D66AF0">
            <w:pPr>
              <w:pStyle w:val="NoSpacing"/>
              <w:ind w:right="-23"/>
              <w:rPr>
                <w:sz w:val="18"/>
                <w:szCs w:val="18"/>
              </w:rPr>
            </w:pPr>
          </w:p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>Application deadlines vary:</w:t>
            </w:r>
          </w:p>
          <w:p w:rsidR="00DB7BEE" w:rsidRPr="009D302F" w:rsidRDefault="00DB7BEE" w:rsidP="00D66AF0">
            <w:pPr>
              <w:pStyle w:val="NoSpacing"/>
              <w:ind w:right="-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9D302F">
              <w:rPr>
                <w:sz w:val="18"/>
                <w:szCs w:val="18"/>
              </w:rPr>
              <w:t xml:space="preserve">heck with the </w:t>
            </w:r>
            <w:r>
              <w:rPr>
                <w:sz w:val="18"/>
                <w:szCs w:val="18"/>
              </w:rPr>
              <w:t xml:space="preserve">Third Party providers </w:t>
            </w:r>
          </w:p>
        </w:tc>
        <w:tc>
          <w:tcPr>
            <w:tcW w:w="2610" w:type="dxa"/>
          </w:tcPr>
          <w:p w:rsidR="00DB7BEE" w:rsidRPr="009D302F" w:rsidRDefault="00DB7BEE" w:rsidP="00D66AF0">
            <w:pPr>
              <w:pStyle w:val="NoSpacing"/>
              <w:jc w:val="both"/>
              <w:rPr>
                <w:noProof/>
                <w:sz w:val="18"/>
                <w:szCs w:val="18"/>
              </w:rPr>
            </w:pPr>
          </w:p>
          <w:p w:rsidR="00DB7BEE" w:rsidRPr="009D302F" w:rsidRDefault="00DB7BEE" w:rsidP="00D66AF0">
            <w:pPr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 xml:space="preserve">Application deadlines vary: </w:t>
            </w:r>
            <w:r>
              <w:rPr>
                <w:sz w:val="18"/>
                <w:szCs w:val="18"/>
              </w:rPr>
              <w:t xml:space="preserve">you can often </w:t>
            </w:r>
            <w:r w:rsidRPr="009D302F">
              <w:rPr>
                <w:sz w:val="18"/>
                <w:szCs w:val="18"/>
              </w:rPr>
              <w:t>enroll until close to the start of the academic year</w:t>
            </w:r>
          </w:p>
          <w:p w:rsidR="00DB7BEE" w:rsidRPr="009D302F" w:rsidRDefault="00DB7BEE" w:rsidP="00D66AF0">
            <w:pPr>
              <w:pStyle w:val="NoSpacing"/>
              <w:jc w:val="both"/>
              <w:rPr>
                <w:sz w:val="18"/>
                <w:szCs w:val="18"/>
              </w:rPr>
            </w:pPr>
          </w:p>
        </w:tc>
      </w:tr>
      <w:tr w:rsidR="00DB7BEE" w:rsidRPr="005452DC" w:rsidTr="00D46340">
        <w:trPr>
          <w:trHeight w:val="1277"/>
        </w:trPr>
        <w:tc>
          <w:tcPr>
            <w:tcW w:w="2160" w:type="dxa"/>
          </w:tcPr>
          <w:p w:rsidR="00DB7BEE" w:rsidRPr="00033ED6" w:rsidRDefault="00DB7BEE" w:rsidP="00D66AF0">
            <w:pPr>
              <w:pStyle w:val="NoSpacing"/>
              <w:rPr>
                <w:b/>
                <w:noProof/>
                <w:sz w:val="16"/>
                <w:szCs w:val="16"/>
              </w:rPr>
            </w:pPr>
          </w:p>
          <w:p w:rsidR="00DB7BEE" w:rsidRPr="005452DC" w:rsidRDefault="00267219" w:rsidP="00D66AF0">
            <w:pPr>
              <w:pStyle w:val="NoSpacing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1234440" cy="987425"/>
                  <wp:effectExtent l="0" t="0" r="3810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ELIGIBILITY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7BEE" w:rsidRPr="00033ED6" w:rsidRDefault="00DB7BEE" w:rsidP="00D66AF0">
            <w:pPr>
              <w:pStyle w:val="NoSpacing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6200" w:type="dxa"/>
            <w:gridSpan w:val="6"/>
            <w:shd w:val="clear" w:color="auto" w:fill="auto"/>
          </w:tcPr>
          <w:p w:rsidR="00DB7BEE" w:rsidRDefault="00DB7BEE" w:rsidP="00D66AF0">
            <w:pPr>
              <w:pStyle w:val="NoSpacing"/>
              <w:ind w:left="720" w:right="90"/>
              <w:rPr>
                <w:sz w:val="16"/>
                <w:szCs w:val="16"/>
              </w:rPr>
            </w:pPr>
          </w:p>
          <w:p w:rsidR="00267219" w:rsidRPr="00D567B8" w:rsidRDefault="00267219" w:rsidP="00D66AF0">
            <w:pPr>
              <w:pStyle w:val="NoSpacing"/>
              <w:ind w:left="720" w:right="90"/>
              <w:rPr>
                <w:sz w:val="16"/>
                <w:szCs w:val="16"/>
              </w:rPr>
            </w:pPr>
          </w:p>
          <w:p w:rsidR="00DB7BEE" w:rsidRPr="009D302F" w:rsidRDefault="00DB7BEE" w:rsidP="00D66AF0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>Is the program open to all majors?</w:t>
            </w:r>
          </w:p>
          <w:p w:rsidR="00DB7BEE" w:rsidRPr="009D302F" w:rsidRDefault="00DB7BEE" w:rsidP="00D66AF0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>Is the program open to all years (freshmen)?</w:t>
            </w:r>
          </w:p>
          <w:p w:rsidR="00DB7BEE" w:rsidRPr="009D302F" w:rsidRDefault="00DB7BEE" w:rsidP="00D66AF0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</w:rPr>
            </w:pPr>
            <w:proofErr w:type="gramStart"/>
            <w:r w:rsidRPr="009D302F">
              <w:rPr>
                <w:sz w:val="18"/>
                <w:szCs w:val="18"/>
              </w:rPr>
              <w:t>Are courses taught</w:t>
            </w:r>
            <w:proofErr w:type="gramEnd"/>
            <w:r w:rsidRPr="009D302F">
              <w:rPr>
                <w:sz w:val="18"/>
                <w:szCs w:val="18"/>
              </w:rPr>
              <w:t xml:space="preserve"> in English? (If you want to study in the host language, we recommend that you have successfully completed a 3000-level course in the local language)</w:t>
            </w:r>
          </w:p>
          <w:p w:rsidR="00DB7BEE" w:rsidRPr="009D302F" w:rsidRDefault="00DB7BEE" w:rsidP="00D66AF0">
            <w:pPr>
              <w:pStyle w:val="NoSpacing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>Are there specific requirements (i.e. GPA, pre-requisite courses)</w:t>
            </w:r>
          </w:p>
        </w:tc>
      </w:tr>
      <w:bookmarkEnd w:id="0"/>
    </w:tbl>
    <w:p w:rsidR="00FB4F87" w:rsidRDefault="00FB4F87"/>
    <w:p w:rsidR="00BF540E" w:rsidRDefault="00BF540E"/>
    <w:p w:rsidR="00BF540E" w:rsidRDefault="00BF540E"/>
    <w:p w:rsidR="00BF540E" w:rsidRDefault="00BF540E"/>
    <w:p w:rsidR="00BF540E" w:rsidRDefault="00BF540E"/>
    <w:sectPr w:rsidR="00BF540E" w:rsidSect="00267219">
      <w:pgSz w:w="24480" w:h="15840" w:orient="landscape" w:code="3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795"/>
    <w:multiLevelType w:val="hybridMultilevel"/>
    <w:tmpl w:val="4D12215C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861779D"/>
    <w:multiLevelType w:val="hybridMultilevel"/>
    <w:tmpl w:val="114E48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95E3C"/>
    <w:multiLevelType w:val="hybridMultilevel"/>
    <w:tmpl w:val="EBC80D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24BC9"/>
    <w:multiLevelType w:val="hybridMultilevel"/>
    <w:tmpl w:val="5770EC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B0A4F"/>
    <w:multiLevelType w:val="hybridMultilevel"/>
    <w:tmpl w:val="E80256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94055"/>
    <w:multiLevelType w:val="hybridMultilevel"/>
    <w:tmpl w:val="89563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9708B"/>
    <w:multiLevelType w:val="hybridMultilevel"/>
    <w:tmpl w:val="CDEA0B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D772C"/>
    <w:multiLevelType w:val="hybridMultilevel"/>
    <w:tmpl w:val="6FCA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A5005"/>
    <w:multiLevelType w:val="hybridMultilevel"/>
    <w:tmpl w:val="100AD0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27C68"/>
    <w:multiLevelType w:val="hybridMultilevel"/>
    <w:tmpl w:val="E68290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87508"/>
    <w:multiLevelType w:val="hybridMultilevel"/>
    <w:tmpl w:val="21B0E61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69250A95"/>
    <w:multiLevelType w:val="hybridMultilevel"/>
    <w:tmpl w:val="7416D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56626"/>
    <w:multiLevelType w:val="hybridMultilevel"/>
    <w:tmpl w:val="2DA8CF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B1FE5"/>
    <w:multiLevelType w:val="hybridMultilevel"/>
    <w:tmpl w:val="728CFB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22E7"/>
    <w:multiLevelType w:val="hybridMultilevel"/>
    <w:tmpl w:val="5C161E02"/>
    <w:lvl w:ilvl="0" w:tplc="04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2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13"/>
  </w:num>
  <w:num w:numId="11">
    <w:abstractNumId w:val="3"/>
  </w:num>
  <w:num w:numId="12">
    <w:abstractNumId w:val="11"/>
  </w:num>
  <w:num w:numId="13">
    <w:abstractNumId w:val="1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F6"/>
    <w:rsid w:val="00011921"/>
    <w:rsid w:val="00107A82"/>
    <w:rsid w:val="001C0617"/>
    <w:rsid w:val="00267219"/>
    <w:rsid w:val="003141DC"/>
    <w:rsid w:val="003F48F6"/>
    <w:rsid w:val="00425070"/>
    <w:rsid w:val="005C6113"/>
    <w:rsid w:val="00732B1D"/>
    <w:rsid w:val="00761D87"/>
    <w:rsid w:val="0079595B"/>
    <w:rsid w:val="007B6217"/>
    <w:rsid w:val="007E60D4"/>
    <w:rsid w:val="008B4441"/>
    <w:rsid w:val="00954FA6"/>
    <w:rsid w:val="00B03EA0"/>
    <w:rsid w:val="00B20B63"/>
    <w:rsid w:val="00BF540E"/>
    <w:rsid w:val="00C034E2"/>
    <w:rsid w:val="00CA10AF"/>
    <w:rsid w:val="00D46340"/>
    <w:rsid w:val="00D66AF0"/>
    <w:rsid w:val="00DB7BEE"/>
    <w:rsid w:val="00DF32B9"/>
    <w:rsid w:val="00EB1866"/>
    <w:rsid w:val="00F13B57"/>
    <w:rsid w:val="00F2282B"/>
    <w:rsid w:val="00F8194F"/>
    <w:rsid w:val="00F83EFA"/>
    <w:rsid w:val="00F87FFA"/>
    <w:rsid w:val="00FB03D1"/>
    <w:rsid w:val="00F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6265"/>
  <w15:chartTrackingRefBased/>
  <w15:docId w15:val="{A25E80F4-8170-44E9-9412-D1DB6258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BE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BEE"/>
    <w:pPr>
      <w:spacing w:after="0" w:line="240" w:lineRule="auto"/>
    </w:pPr>
  </w:style>
  <w:style w:type="table" w:styleId="TableGrid">
    <w:name w:val="Table Grid"/>
    <w:basedOn w:val="TableNormal"/>
    <w:uiPriority w:val="39"/>
    <w:rsid w:val="00DB7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7B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7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isep.org" TargetMode="External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hyperlink" Target="mailto:cbwatts@vt.edu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cbwatts@vt.edu" TargetMode="External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yperlink" Target="http://www.isep.or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hyperlink" Target="mailto:cbwatts@vt.ed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mailto:cbwatts@vt.ed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mailto:cbwatts@vt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8FD4F-8E63-44AA-BF6B-E8E044E5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Wijnands, Marielle</dc:creator>
  <cp:keywords/>
  <dc:description/>
  <cp:lastModifiedBy>Rommelyn Conde</cp:lastModifiedBy>
  <cp:revision>2</cp:revision>
  <dcterms:created xsi:type="dcterms:W3CDTF">2018-06-04T14:11:00Z</dcterms:created>
  <dcterms:modified xsi:type="dcterms:W3CDTF">2018-06-04T14:11:00Z</dcterms:modified>
</cp:coreProperties>
</file>